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87" w:rsidRPr="00BD0C87" w:rsidRDefault="00BD0C87" w:rsidP="00BD0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2"/>
          <w:lang w:eastAsia="pl-PL"/>
        </w:rPr>
        <w:drawing>
          <wp:anchor distT="0" distB="0" distL="114300" distR="114300" simplePos="0" relativeHeight="251659264" behindDoc="0" locked="0" layoutInCell="0" allowOverlap="1" wp14:anchorId="62E31A18" wp14:editId="3D6CF5CB">
            <wp:simplePos x="0" y="0"/>
            <wp:positionH relativeFrom="column">
              <wp:posOffset>-242570</wp:posOffset>
            </wp:positionH>
            <wp:positionV relativeFrom="paragraph">
              <wp:posOffset>26670</wp:posOffset>
            </wp:positionV>
            <wp:extent cx="1019810" cy="557530"/>
            <wp:effectExtent l="19050" t="19050" r="27940" b="13970"/>
            <wp:wrapSquare wrapText="bothSides"/>
            <wp:docPr id="2" name="Obraz 2" descr="logo1_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r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575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C87">
        <w:rPr>
          <w:rFonts w:ascii="Times New Roman" w:hAnsi="Times New Roman" w:cs="Times New Roman"/>
          <w:b/>
          <w:sz w:val="28"/>
          <w:szCs w:val="28"/>
        </w:rPr>
        <w:t>Powiatowy Urząd Pracy w Grójcu</w:t>
      </w:r>
    </w:p>
    <w:p w:rsidR="00BD0C87" w:rsidRDefault="00BD0C87" w:rsidP="00BD0C87">
      <w:pPr>
        <w:jc w:val="center"/>
      </w:pPr>
      <w:r w:rsidRPr="00BD0C87">
        <w:rPr>
          <w:rFonts w:ascii="Times New Roman" w:hAnsi="Times New Roman" w:cs="Times New Roman"/>
          <w:sz w:val="28"/>
          <w:szCs w:val="28"/>
        </w:rPr>
        <w:t>ul. Laskowa 4a, 05-600 Grójec</w:t>
      </w:r>
    </w:p>
    <w:p w:rsidR="00BD0C87" w:rsidRDefault="00BD0C87"/>
    <w:p w:rsidR="00BD0C87" w:rsidRDefault="00BD0C87"/>
    <w:p w:rsidR="00BD0C87" w:rsidRDefault="00BD0C87"/>
    <w:p w:rsidR="00BD0C87" w:rsidRDefault="00BD0C87"/>
    <w:p w:rsidR="00BD0C87" w:rsidRDefault="00BD0C87"/>
    <w:p w:rsidR="00BD0C87" w:rsidRDefault="00BD0C87"/>
    <w:p w:rsidR="00BD0C87" w:rsidRDefault="00BD0C87"/>
    <w:p w:rsidR="00BD0C87" w:rsidRDefault="00BD0C87"/>
    <w:p w:rsidR="00BD0C87" w:rsidRP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C87">
        <w:rPr>
          <w:rFonts w:ascii="Times New Roman" w:hAnsi="Times New Roman" w:cs="Times New Roman"/>
          <w:b/>
          <w:sz w:val="40"/>
          <w:szCs w:val="40"/>
        </w:rPr>
        <w:t>Monitoring zawodów</w:t>
      </w:r>
    </w:p>
    <w:p w:rsidR="00BD0C87" w:rsidRPr="00BD0C87" w:rsidRDefault="00F05A16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  <w:r w:rsidR="00BD0C87" w:rsidRPr="00BD0C87">
        <w:rPr>
          <w:rFonts w:ascii="Times New Roman" w:hAnsi="Times New Roman" w:cs="Times New Roman"/>
          <w:b/>
          <w:sz w:val="40"/>
          <w:szCs w:val="40"/>
        </w:rPr>
        <w:t>eficytowych i nadwyżkowych</w:t>
      </w:r>
    </w:p>
    <w:p w:rsidR="00BD0C87" w:rsidRDefault="00F05A16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</w:t>
      </w:r>
      <w:r w:rsidR="00BD0C87" w:rsidRPr="00BD0C87">
        <w:rPr>
          <w:rFonts w:ascii="Times New Roman" w:hAnsi="Times New Roman" w:cs="Times New Roman"/>
          <w:b/>
          <w:sz w:val="40"/>
          <w:szCs w:val="40"/>
        </w:rPr>
        <w:t xml:space="preserve"> powiecie grójeckim w 2015 roku.</w:t>
      </w: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87">
        <w:rPr>
          <w:rFonts w:ascii="Times New Roman" w:hAnsi="Times New Roman" w:cs="Times New Roman"/>
          <w:b/>
          <w:sz w:val="28"/>
          <w:szCs w:val="28"/>
        </w:rPr>
        <w:t>Grójec, kwiecień 2016</w:t>
      </w:r>
    </w:p>
    <w:p w:rsidR="00BD0C87" w:rsidRDefault="00BD0C87" w:rsidP="00BD0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45351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0C87" w:rsidRDefault="00BD0C87">
          <w:pPr>
            <w:pStyle w:val="Nagwekspisutreci"/>
          </w:pPr>
          <w:r>
            <w:t>Spis treści</w:t>
          </w:r>
        </w:p>
        <w:p w:rsidR="00016A40" w:rsidRDefault="00BD0C8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705508" w:history="1">
            <w:r w:rsidR="00016A40" w:rsidRPr="001C2411">
              <w:rPr>
                <w:rStyle w:val="Hipercze"/>
                <w:b/>
                <w:noProof/>
              </w:rPr>
              <w:t>Wstęp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_Toc449705508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3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09" w:history="1">
            <w:r w:rsidR="00016A40" w:rsidRPr="001C2411">
              <w:rPr>
                <w:rStyle w:val="Hipercze"/>
                <w:b/>
                <w:noProof/>
              </w:rPr>
              <w:t>Podstawowe pojęcia i definicje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_Toc449705509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4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0" w:history="1">
            <w:r w:rsidR="00016A40" w:rsidRPr="001C2411">
              <w:rPr>
                <w:rStyle w:val="Hipercze"/>
                <w:b/>
                <w:noProof/>
              </w:rPr>
              <w:t>1.</w:t>
            </w:r>
            <w:r w:rsidR="00016A40">
              <w:rPr>
                <w:rFonts w:eastAsiaTheme="minorEastAsia"/>
                <w:noProof/>
                <w:lang w:eastAsia="pl-PL"/>
              </w:rPr>
              <w:tab/>
            </w:r>
            <w:r w:rsidR="00016A40" w:rsidRPr="001C2411">
              <w:rPr>
                <w:rStyle w:val="Hipercze"/>
                <w:b/>
                <w:noProof/>
              </w:rPr>
              <w:t>Analiza ogólnej sytuacji na rynku pracy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_Toc449705510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5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1" w:history="1">
            <w:r w:rsidR="00016A40" w:rsidRPr="001C2411">
              <w:rPr>
                <w:rStyle w:val="Hipercze"/>
                <w:b/>
                <w:noProof/>
              </w:rPr>
              <w:t>2.</w:t>
            </w:r>
            <w:r w:rsidR="00016A40">
              <w:rPr>
                <w:rFonts w:eastAsiaTheme="minorEastAsia"/>
                <w:noProof/>
                <w:lang w:eastAsia="pl-PL"/>
              </w:rPr>
              <w:tab/>
            </w:r>
            <w:r w:rsidR="00016A40" w:rsidRPr="001C2411">
              <w:rPr>
                <w:rStyle w:val="Hipercze"/>
                <w:b/>
                <w:noProof/>
              </w:rPr>
              <w:t>Ranking zawodów deficytowych i nadwyżkowych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_Toc449705511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9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2" w:history="1">
            <w:r w:rsidR="00016A40" w:rsidRPr="001C2411">
              <w:rPr>
                <w:rStyle w:val="Hipercze"/>
                <w:b/>
                <w:noProof/>
              </w:rPr>
              <w:t>3.</w:t>
            </w:r>
            <w:r w:rsidR="00016A40">
              <w:rPr>
                <w:rFonts w:eastAsiaTheme="minorEastAsia"/>
                <w:noProof/>
                <w:lang w:eastAsia="pl-PL"/>
              </w:rPr>
              <w:tab/>
            </w:r>
            <w:r w:rsidR="00016A40" w:rsidRPr="001C2411">
              <w:rPr>
                <w:rStyle w:val="Hipercze"/>
                <w:b/>
                <w:noProof/>
              </w:rPr>
              <w:t>Analiza umiejętności i uprawnień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_Toc449705512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12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3" w:history="1">
            <w:r w:rsidR="00016A40" w:rsidRPr="001C2411">
              <w:rPr>
                <w:rStyle w:val="Hipercze"/>
                <w:b/>
                <w:noProof/>
              </w:rPr>
              <w:t>4.1</w:t>
            </w:r>
            <w:r w:rsidR="00016A40">
              <w:rPr>
                <w:rFonts w:eastAsiaTheme="minorEastAsia"/>
                <w:noProof/>
                <w:lang w:eastAsia="pl-PL"/>
              </w:rPr>
              <w:tab/>
            </w:r>
            <w:r w:rsidR="00016A40" w:rsidRPr="001C2411">
              <w:rPr>
                <w:rStyle w:val="Hipercze"/>
                <w:b/>
                <w:noProof/>
              </w:rPr>
              <w:t>Analiza uczniów ostatnich klas szkół ponadgimnazjalnych.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_Toc449705513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13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4" w:history="1">
            <w:r w:rsidR="00016A40" w:rsidRPr="001C2411">
              <w:rPr>
                <w:rStyle w:val="Hipercze"/>
                <w:b/>
                <w:noProof/>
              </w:rPr>
              <w:t>4.2</w:t>
            </w:r>
            <w:r w:rsidR="00016A40">
              <w:rPr>
                <w:rFonts w:eastAsiaTheme="minorEastAsia"/>
                <w:noProof/>
                <w:lang w:eastAsia="pl-PL"/>
              </w:rPr>
              <w:tab/>
            </w:r>
            <w:r w:rsidR="00016A40" w:rsidRPr="001C2411">
              <w:rPr>
                <w:rStyle w:val="Hipercze"/>
                <w:b/>
                <w:noProof/>
              </w:rPr>
              <w:t>Analiza absolwentów szkół ponadgimnazjalnych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_Toc449705514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14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5" w:history="1">
            <w:r w:rsidR="00016A40" w:rsidRPr="001C2411">
              <w:rPr>
                <w:rStyle w:val="Hipercze"/>
                <w:b/>
                <w:noProof/>
              </w:rPr>
              <w:t>5.</w:t>
            </w:r>
            <w:r w:rsidR="00016A40">
              <w:rPr>
                <w:rFonts w:eastAsiaTheme="minorEastAsia"/>
                <w:noProof/>
                <w:lang w:eastAsia="pl-PL"/>
              </w:rPr>
              <w:tab/>
            </w:r>
            <w:r w:rsidR="00016A40" w:rsidRPr="001C2411">
              <w:rPr>
                <w:rStyle w:val="Hipercze"/>
                <w:b/>
                <w:noProof/>
              </w:rPr>
              <w:t>Badanie kwestionariuszowe przedsiębiorstw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_Toc449705515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15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6" w:history="1">
            <w:r w:rsidR="00016A40" w:rsidRPr="001C2411">
              <w:rPr>
                <w:rStyle w:val="Hipercze"/>
                <w:b/>
                <w:noProof/>
              </w:rPr>
              <w:t>6.</w:t>
            </w:r>
            <w:r w:rsidR="00016A40">
              <w:rPr>
                <w:rFonts w:eastAsiaTheme="minorEastAsia"/>
                <w:noProof/>
                <w:lang w:eastAsia="pl-PL"/>
              </w:rPr>
              <w:tab/>
            </w:r>
            <w:r w:rsidR="00016A40" w:rsidRPr="001C2411">
              <w:rPr>
                <w:rStyle w:val="Hipercze"/>
                <w:b/>
                <w:noProof/>
              </w:rPr>
              <w:t>Prognoza lokalnego rynku pracy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_Toc449705516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22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7" w:history="1">
            <w:r w:rsidR="00016A40" w:rsidRPr="001C2411">
              <w:rPr>
                <w:rStyle w:val="Hipercze"/>
                <w:b/>
                <w:noProof/>
              </w:rPr>
              <w:t>Podsumowanie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_Toc449705517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23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8" w:history="1">
            <w:r w:rsidR="00016A40" w:rsidRPr="001C2411">
              <w:rPr>
                <w:rStyle w:val="Hipercze"/>
                <w:b/>
                <w:noProof/>
              </w:rPr>
              <w:t>Informacja Sygnalna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_Toc449705518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25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19" w:history="1">
            <w:r w:rsidR="00016A40" w:rsidRPr="001C2411">
              <w:rPr>
                <w:rStyle w:val="Hipercze"/>
                <w:b/>
                <w:noProof/>
              </w:rPr>
              <w:t>Załącznik A. Rynek pracy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_Toc449705519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26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016A40" w:rsidRDefault="005747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49705520" w:history="1">
            <w:r w:rsidR="00016A40" w:rsidRPr="001C2411">
              <w:rPr>
                <w:rStyle w:val="Hipercze"/>
                <w:b/>
                <w:noProof/>
              </w:rPr>
              <w:t>Załącznik B. Rynek edukacyjny</w:t>
            </w:r>
            <w:r w:rsidR="00016A40">
              <w:rPr>
                <w:noProof/>
                <w:webHidden/>
              </w:rPr>
              <w:tab/>
            </w:r>
            <w:r w:rsidR="00016A40">
              <w:rPr>
                <w:noProof/>
                <w:webHidden/>
              </w:rPr>
              <w:fldChar w:fldCharType="begin"/>
            </w:r>
            <w:r w:rsidR="00016A40">
              <w:rPr>
                <w:noProof/>
                <w:webHidden/>
              </w:rPr>
              <w:instrText xml:space="preserve"> PAGEREF _Toc449705520 \h </w:instrText>
            </w:r>
            <w:r w:rsidR="00016A40">
              <w:rPr>
                <w:noProof/>
                <w:webHidden/>
              </w:rPr>
            </w:r>
            <w:r w:rsidR="00016A40">
              <w:rPr>
                <w:noProof/>
                <w:webHidden/>
              </w:rPr>
              <w:fldChar w:fldCharType="separate"/>
            </w:r>
            <w:r w:rsidR="00016A40">
              <w:rPr>
                <w:noProof/>
                <w:webHidden/>
              </w:rPr>
              <w:t>51</w:t>
            </w:r>
            <w:r w:rsidR="00016A40">
              <w:rPr>
                <w:noProof/>
                <w:webHidden/>
              </w:rPr>
              <w:fldChar w:fldCharType="end"/>
            </w:r>
          </w:hyperlink>
        </w:p>
        <w:p w:rsidR="00BD0C87" w:rsidRDefault="00BD0C87">
          <w:r>
            <w:rPr>
              <w:b/>
              <w:bCs/>
            </w:rPr>
            <w:fldChar w:fldCharType="end"/>
          </w:r>
        </w:p>
      </w:sdtContent>
    </w:sdt>
    <w:p w:rsidR="00BD0C87" w:rsidRDefault="00BD0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0C87" w:rsidRPr="00016CBA" w:rsidRDefault="00BD0C87" w:rsidP="00AD1382">
      <w:pPr>
        <w:pStyle w:val="Nagwek1"/>
        <w:ind w:left="720"/>
        <w:rPr>
          <w:b/>
        </w:rPr>
      </w:pPr>
      <w:bookmarkStart w:id="1" w:name="_Toc449705508"/>
      <w:r w:rsidRPr="00016CBA">
        <w:rPr>
          <w:b/>
        </w:rPr>
        <w:lastRenderedPageBreak/>
        <w:t>Wstęp</w:t>
      </w:r>
      <w:bookmarkEnd w:id="1"/>
    </w:p>
    <w:p w:rsidR="00BD0C87" w:rsidRDefault="00BD0C87" w:rsidP="00BD0C87"/>
    <w:p w:rsidR="005A5DF4" w:rsidRPr="0001238A" w:rsidRDefault="0001238A" w:rsidP="002E55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38A">
        <w:rPr>
          <w:rFonts w:ascii="Times New Roman" w:hAnsi="Times New Roman" w:cs="Times New Roman"/>
          <w:sz w:val="26"/>
          <w:szCs w:val="26"/>
        </w:rPr>
        <w:t>Monitoring zawodów deficytowych i nadwyżkowych został sporządzony zgodnie zapisami Ustawy o promocji zatrudnienia i instytucjach rynku pracy i</w:t>
      </w:r>
      <w:r w:rsidR="00625EE6">
        <w:rPr>
          <w:rFonts w:ascii="Times New Roman" w:hAnsi="Times New Roman" w:cs="Times New Roman"/>
          <w:sz w:val="26"/>
          <w:szCs w:val="26"/>
        </w:rPr>
        <w:t> </w:t>
      </w:r>
      <w:r w:rsidRPr="0001238A">
        <w:rPr>
          <w:rFonts w:ascii="Times New Roman" w:hAnsi="Times New Roman" w:cs="Times New Roman"/>
          <w:sz w:val="26"/>
          <w:szCs w:val="26"/>
        </w:rPr>
        <w:t>instytucjach rynku pracy (art. 9, ust. 1 pkt 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DF4" w:rsidRDefault="005A5DF4" w:rsidP="002E55C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Raport został stworzony w oparciu o zalecenia metodyczne przygotowane w</w:t>
      </w:r>
      <w:r w:rsidR="00625EE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ramach projektu „ Opracowanie nowych zaleceń metodycznych prowadzenia monitoringu zawodów deficytowych i nadwyżkowych na lokalnym rynku pracy.</w:t>
      </w:r>
    </w:p>
    <w:p w:rsidR="00BD11C6" w:rsidRDefault="002E55C5" w:rsidP="00BD11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</w:t>
      </w:r>
      <w:r w:rsidR="00BD11C6">
        <w:rPr>
          <w:rFonts w:ascii="Times New Roman" w:hAnsi="Times New Roman" w:cs="Times New Roman"/>
          <w:sz w:val="26"/>
          <w:szCs w:val="26"/>
        </w:rPr>
        <w:t xml:space="preserve"> sporządzenia</w:t>
      </w:r>
      <w:r>
        <w:rPr>
          <w:rFonts w:ascii="Times New Roman" w:hAnsi="Times New Roman" w:cs="Times New Roman"/>
          <w:sz w:val="26"/>
          <w:szCs w:val="26"/>
        </w:rPr>
        <w:t xml:space="preserve"> monitoringu </w:t>
      </w:r>
      <w:r w:rsidR="00BD11C6">
        <w:rPr>
          <w:rFonts w:ascii="Times New Roman" w:hAnsi="Times New Roman" w:cs="Times New Roman"/>
          <w:sz w:val="26"/>
          <w:szCs w:val="26"/>
        </w:rPr>
        <w:t>jest między innymi: określenie kierunków i</w:t>
      </w:r>
      <w:r w:rsidR="00625EE6">
        <w:rPr>
          <w:rFonts w:ascii="Times New Roman" w:hAnsi="Times New Roman" w:cs="Times New Roman"/>
          <w:sz w:val="26"/>
          <w:szCs w:val="26"/>
        </w:rPr>
        <w:t> </w:t>
      </w:r>
      <w:r w:rsidR="00BD11C6">
        <w:rPr>
          <w:rFonts w:ascii="Times New Roman" w:hAnsi="Times New Roman" w:cs="Times New Roman"/>
          <w:sz w:val="26"/>
          <w:szCs w:val="26"/>
        </w:rPr>
        <w:t>natężenia zmian zachodzących w strukturze zawodowo – kwalifikacyjnej na powiatowym rynku pracy, określenie kierunków szkolenia bezrobotnych, korektę poziomu, struktury i treści kształcenia zawodowego na poziomie ponadgimnazjalnym i</w:t>
      </w:r>
      <w:r w:rsidR="00625EE6">
        <w:rPr>
          <w:rFonts w:ascii="Times New Roman" w:hAnsi="Times New Roman" w:cs="Times New Roman"/>
          <w:sz w:val="26"/>
          <w:szCs w:val="26"/>
        </w:rPr>
        <w:t> </w:t>
      </w:r>
      <w:r w:rsidR="00BD11C6">
        <w:rPr>
          <w:rFonts w:ascii="Times New Roman" w:hAnsi="Times New Roman" w:cs="Times New Roman"/>
          <w:sz w:val="26"/>
          <w:szCs w:val="26"/>
        </w:rPr>
        <w:t xml:space="preserve">wyższym, ułatwienie realizacji programów specjalnych. </w:t>
      </w:r>
    </w:p>
    <w:p w:rsidR="0001238A" w:rsidRPr="0001238A" w:rsidRDefault="0001238A" w:rsidP="00BD11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38A">
        <w:rPr>
          <w:rFonts w:ascii="Times New Roman" w:hAnsi="Times New Roman" w:cs="Times New Roman"/>
          <w:sz w:val="26"/>
          <w:szCs w:val="26"/>
        </w:rPr>
        <w:t xml:space="preserve">Źródłem informacji do opracowania Raportu Monitoringu Zawodów Deficytowych i Nadwyżkowych w Powiatowym Urzędzie Pracy w Grójcu są dane </w:t>
      </w:r>
      <w:r w:rsidR="00BD11C6">
        <w:rPr>
          <w:rFonts w:ascii="Times New Roman" w:hAnsi="Times New Roman" w:cs="Times New Roman"/>
          <w:sz w:val="26"/>
          <w:szCs w:val="26"/>
        </w:rPr>
        <w:t>gromadzone w systemie Syriusz</w:t>
      </w:r>
      <w:r w:rsidR="00B27735">
        <w:rPr>
          <w:rFonts w:ascii="Times New Roman" w:hAnsi="Times New Roman" w:cs="Times New Roman"/>
          <w:sz w:val="26"/>
          <w:szCs w:val="26"/>
        </w:rPr>
        <w:t>,</w:t>
      </w:r>
      <w:r w:rsidR="00BD11C6">
        <w:rPr>
          <w:rFonts w:ascii="Times New Roman" w:hAnsi="Times New Roman" w:cs="Times New Roman"/>
          <w:sz w:val="26"/>
          <w:szCs w:val="26"/>
        </w:rPr>
        <w:t xml:space="preserve"> </w:t>
      </w:r>
      <w:r w:rsidRPr="0001238A">
        <w:rPr>
          <w:rFonts w:ascii="Times New Roman" w:hAnsi="Times New Roman" w:cs="Times New Roman"/>
          <w:sz w:val="26"/>
          <w:szCs w:val="26"/>
        </w:rPr>
        <w:t xml:space="preserve">dotyczące osób bezrobotnych oraz zgłoszonych ofert pracy według zawodów i specjalności, </w:t>
      </w:r>
      <w:r w:rsidR="00BD11C6">
        <w:rPr>
          <w:rFonts w:ascii="Times New Roman" w:hAnsi="Times New Roman" w:cs="Times New Roman"/>
          <w:sz w:val="26"/>
          <w:szCs w:val="26"/>
        </w:rPr>
        <w:t xml:space="preserve">badanie ofert pracy podmiotów publicznych (zamieszczonych w Biuletynie Informacji Publicznej) oraz ofert upowszechnionych za pośrednictwem portali rekrutacyjnych w </w:t>
      </w:r>
      <w:r w:rsidR="00B27735">
        <w:rPr>
          <w:rFonts w:ascii="Times New Roman" w:hAnsi="Times New Roman" w:cs="Times New Roman"/>
          <w:sz w:val="26"/>
          <w:szCs w:val="26"/>
        </w:rPr>
        <w:t>Internecie</w:t>
      </w:r>
      <w:r w:rsidR="00BD11C6">
        <w:rPr>
          <w:rFonts w:ascii="Times New Roman" w:hAnsi="Times New Roman" w:cs="Times New Roman"/>
          <w:sz w:val="26"/>
          <w:szCs w:val="26"/>
        </w:rPr>
        <w:t xml:space="preserve">, badanie kwestionariuszowe przedsiębiorstw, analiza danych dotyczących rynku edukacyjnego (SIO MEN oraz sprawozdanie o studiach wyższych S-10 GUS), badania odnośnie rynku pracy GUS (BAEL, badanie popytu na pracę) oraz system prognostyczno – informacyjny. </w:t>
      </w:r>
    </w:p>
    <w:p w:rsidR="002E55C5" w:rsidRPr="002E55C5" w:rsidRDefault="002E55C5" w:rsidP="002E55C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5C5">
        <w:rPr>
          <w:rFonts w:ascii="Times New Roman" w:hAnsi="Times New Roman" w:cs="Times New Roman"/>
          <w:sz w:val="26"/>
          <w:szCs w:val="26"/>
        </w:rPr>
        <w:t xml:space="preserve">Podstawą do sporządzenia analizy zawodów deficytowych i nadwyżkowych jest klasyfikacja zawodów i specjalności, wprowadzona do powszechnego użycia Rozporządzeniem Ministra Gospodarki i Pracy z dnia </w:t>
      </w:r>
      <w:r>
        <w:rPr>
          <w:rFonts w:ascii="Times New Roman" w:hAnsi="Times New Roman" w:cs="Times New Roman"/>
          <w:sz w:val="26"/>
          <w:szCs w:val="26"/>
        </w:rPr>
        <w:t>07.08.2014</w:t>
      </w:r>
      <w:r w:rsidRPr="002E55C5">
        <w:rPr>
          <w:rFonts w:ascii="Times New Roman" w:hAnsi="Times New Roman" w:cs="Times New Roman"/>
          <w:sz w:val="26"/>
          <w:szCs w:val="26"/>
        </w:rPr>
        <w:t xml:space="preserve">. (Dz. U. poz. </w:t>
      </w:r>
      <w:r>
        <w:rPr>
          <w:rFonts w:ascii="Times New Roman" w:hAnsi="Times New Roman" w:cs="Times New Roman"/>
          <w:sz w:val="26"/>
          <w:szCs w:val="26"/>
        </w:rPr>
        <w:t>1145</w:t>
      </w:r>
      <w:r w:rsidRPr="002E55C5">
        <w:rPr>
          <w:rFonts w:ascii="Times New Roman" w:hAnsi="Times New Roman" w:cs="Times New Roman"/>
          <w:sz w:val="26"/>
          <w:szCs w:val="26"/>
        </w:rPr>
        <w:t xml:space="preserve">), w sprawie klasyfikacji zawodów i specjalności dla potrzeb rynku pracy oraz zakres jej stosowania. </w:t>
      </w:r>
    </w:p>
    <w:p w:rsidR="002E55C5" w:rsidRPr="002E55C5" w:rsidRDefault="002E55C5" w:rsidP="00BD11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C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E55C5" w:rsidRPr="002E55C5" w:rsidRDefault="002E55C5" w:rsidP="000123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238A" w:rsidRPr="00B27735" w:rsidRDefault="00204657" w:rsidP="00AD1382">
      <w:pPr>
        <w:pStyle w:val="Nagwek2"/>
        <w:ind w:left="780"/>
        <w:rPr>
          <w:b/>
        </w:rPr>
      </w:pPr>
      <w:bookmarkStart w:id="2" w:name="_Toc449705509"/>
      <w:r w:rsidRPr="00B27735">
        <w:rPr>
          <w:b/>
        </w:rPr>
        <w:lastRenderedPageBreak/>
        <w:t>Podstawowe pojęcia i definicje</w:t>
      </w:r>
      <w:bookmarkEnd w:id="2"/>
    </w:p>
    <w:p w:rsidR="00204657" w:rsidRDefault="00204657" w:rsidP="00204657">
      <w:pPr>
        <w:ind w:left="360"/>
      </w:pPr>
    </w:p>
    <w:p w:rsidR="00204657" w:rsidRDefault="00204657" w:rsidP="002046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04657">
        <w:rPr>
          <w:rFonts w:ascii="Times New Roman" w:hAnsi="Times New Roman" w:cs="Times New Roman"/>
          <w:b/>
          <w:sz w:val="26"/>
          <w:szCs w:val="26"/>
        </w:rPr>
        <w:t>Monitoring zawodów deficytowych i nadwyżkowych</w:t>
      </w:r>
      <w:r w:rsidRPr="00204657">
        <w:rPr>
          <w:rFonts w:ascii="Times New Roman" w:hAnsi="Times New Roman" w:cs="Times New Roman"/>
          <w:sz w:val="26"/>
          <w:szCs w:val="26"/>
        </w:rPr>
        <w:t xml:space="preserve"> – proces systematycznego obserwowania zjawisk zachodzących na rynku pracy dotyczących kształtowania się popytu na prace i podaży zasobów pracy. </w:t>
      </w:r>
    </w:p>
    <w:p w:rsidR="00204657" w:rsidRDefault="00204657" w:rsidP="002046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Zawody deficytowe </w:t>
      </w:r>
      <w:r>
        <w:rPr>
          <w:rFonts w:ascii="Times New Roman" w:hAnsi="Times New Roman" w:cs="Times New Roman"/>
          <w:sz w:val="26"/>
          <w:szCs w:val="26"/>
        </w:rPr>
        <w:t>– takie, na które istnieje na rynku pracy wyższe zapotrzebowanie niż liczba bezrobotnych w danym zawodzie. Oznacza to że są to zawody dla których liczba ofert pracy jest wyższa niż liczba bezrobotnych, odsetek długotrwale bezrobotnych jest nieznaczny, a odpływ bezrobotnych przewyższa ich napływ w danym okresie sprawozdawczym.</w:t>
      </w:r>
    </w:p>
    <w:p w:rsidR="00204657" w:rsidRDefault="00204657" w:rsidP="002046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Zawody zrównoważone </w:t>
      </w:r>
      <w:r>
        <w:rPr>
          <w:rFonts w:ascii="Times New Roman" w:hAnsi="Times New Roman" w:cs="Times New Roman"/>
          <w:sz w:val="26"/>
          <w:szCs w:val="26"/>
        </w:rPr>
        <w:t xml:space="preserve">– takie, na które na rynku pracy występuje zapotrzebowanie zbliżone do liczby zarejestrowanych bezrobotnych, odsetek bezrobotnych długotrwale zarejestrowanych jest nieznaczny, a odpływ bezrobotnych przewyższa napływ w danym okresie sprawozdawczym. </w:t>
      </w:r>
    </w:p>
    <w:p w:rsidR="00204657" w:rsidRDefault="00204657" w:rsidP="002046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Zawody nadwyżkowe </w:t>
      </w:r>
      <w:r>
        <w:rPr>
          <w:rFonts w:ascii="Times New Roman" w:hAnsi="Times New Roman" w:cs="Times New Roman"/>
          <w:sz w:val="26"/>
          <w:szCs w:val="26"/>
        </w:rPr>
        <w:t>– takie, na które istnieje na rynku pracy niższe zapotrzebowanie niż liczba bezrobotnych w danym zawodzie</w:t>
      </w:r>
      <w:r w:rsidR="001A7D3B">
        <w:rPr>
          <w:rFonts w:ascii="Times New Roman" w:hAnsi="Times New Roman" w:cs="Times New Roman"/>
          <w:sz w:val="26"/>
          <w:szCs w:val="26"/>
        </w:rPr>
        <w:t xml:space="preserve">. Oznacza to że, liczba ofert pracy jest niższa niż liczba bezrobotnych, długotrwałe bezrobocie jest wysokie, a napływ bezrobotnych przewyższa ich odpływ w danym okresie sprawozdawczym. </w:t>
      </w:r>
    </w:p>
    <w:p w:rsidR="001A7D3B" w:rsidRDefault="001A7D3B" w:rsidP="002046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Zawód </w:t>
      </w:r>
      <w:r>
        <w:rPr>
          <w:rFonts w:ascii="Times New Roman" w:hAnsi="Times New Roman" w:cs="Times New Roman"/>
          <w:sz w:val="26"/>
          <w:szCs w:val="26"/>
        </w:rPr>
        <w:t>– zgodnie z Klasyfikacją Zawodów i Specjalności (KZIS), to przynoszący zbiór zadań (zespół czynności), wykonywanych stale lub z niewielkimi zmianami przez poszczególne osoby i wymagających odpowiednich kwalifikacji (wiedzy i</w:t>
      </w:r>
      <w:r w:rsidR="00625EE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umiejętności). </w:t>
      </w:r>
    </w:p>
    <w:p w:rsidR="001A7D3B" w:rsidRDefault="001A7D3B" w:rsidP="002046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Lokalny rynek pracy </w:t>
      </w:r>
      <w:r>
        <w:rPr>
          <w:rFonts w:ascii="Times New Roman" w:hAnsi="Times New Roman" w:cs="Times New Roman"/>
          <w:sz w:val="26"/>
          <w:szCs w:val="26"/>
        </w:rPr>
        <w:t xml:space="preserve">– rynek pracy objęty działaniem Powiatowego Urzędu Pracy w Grójcu. </w:t>
      </w:r>
    </w:p>
    <w:p w:rsidR="001A7D3B" w:rsidRDefault="001A7D3B" w:rsidP="00204657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Oferta pracy </w:t>
      </w:r>
      <w:r w:rsidRPr="001A7D3B">
        <w:rPr>
          <w:rFonts w:ascii="Times New Roman" w:hAnsi="Times New Roman" w:cs="Times New Roman"/>
          <w:sz w:val="26"/>
          <w:szCs w:val="26"/>
        </w:rPr>
        <w:t>-</w:t>
      </w:r>
      <w:r w:rsidR="00016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zgłoszone przez pracodawcę do powiatowego urzędu pracy lub umieszczone w internetowych serwisach </w:t>
      </w:r>
      <w:r w:rsidR="00B27735">
        <w:rPr>
          <w:rFonts w:ascii="Times New Roman" w:hAnsi="Times New Roman" w:cs="Times New Roman"/>
          <w:sz w:val="26"/>
          <w:szCs w:val="26"/>
        </w:rPr>
        <w:t>rekrutacyjnych</w:t>
      </w:r>
      <w:r>
        <w:rPr>
          <w:rFonts w:ascii="Times New Roman" w:hAnsi="Times New Roman" w:cs="Times New Roman"/>
          <w:sz w:val="26"/>
          <w:szCs w:val="26"/>
        </w:rPr>
        <w:t xml:space="preserve"> lub Biuletynie Informacji Publicznej, co najmniej jednego wolnego miejsca zatrudnienia lub innej pracy zarobkowej w określonym zawodzie lub specjalności w celu znalezienia odpowiedniego pracownika. </w:t>
      </w:r>
    </w:p>
    <w:p w:rsidR="00016CBA" w:rsidRDefault="00016CBA" w:rsidP="00016CBA">
      <w:pPr>
        <w:pStyle w:val="Nagwek1"/>
        <w:numPr>
          <w:ilvl w:val="0"/>
          <w:numId w:val="1"/>
        </w:numPr>
        <w:rPr>
          <w:b/>
        </w:rPr>
      </w:pPr>
      <w:bookmarkStart w:id="3" w:name="_Toc449705510"/>
      <w:r w:rsidRPr="00016CBA">
        <w:rPr>
          <w:b/>
        </w:rPr>
        <w:lastRenderedPageBreak/>
        <w:t>Analiza ogólnej sytuacji na rynku pracy</w:t>
      </w:r>
      <w:bookmarkEnd w:id="3"/>
    </w:p>
    <w:p w:rsidR="00016CBA" w:rsidRDefault="00016CBA" w:rsidP="00016CBA"/>
    <w:p w:rsidR="00511ADF" w:rsidRDefault="00511ADF" w:rsidP="00511ADF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1ADF">
        <w:rPr>
          <w:rFonts w:ascii="Times New Roman" w:hAnsi="Times New Roman" w:cs="Times New Roman"/>
          <w:sz w:val="26"/>
          <w:szCs w:val="26"/>
        </w:rPr>
        <w:t>Wg stanu na koniec  2015r. w Urzędzie zarejestrowanych było 1986 bezrobotnych, w tym 945 kobiet. W porównaniu do 2014r. liczba bezrobotnych zmniejszyła się o 713 osób.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ADF">
        <w:rPr>
          <w:rFonts w:ascii="Times New Roman" w:hAnsi="Times New Roman" w:cs="Times New Roman"/>
          <w:sz w:val="26"/>
          <w:szCs w:val="26"/>
        </w:rPr>
        <w:t>Stopa bezrobocia na dzień 31.12.2015r. w powiecie gr</w:t>
      </w:r>
      <w:r>
        <w:rPr>
          <w:rFonts w:ascii="Times New Roman" w:hAnsi="Times New Roman" w:cs="Times New Roman"/>
          <w:sz w:val="26"/>
          <w:szCs w:val="26"/>
        </w:rPr>
        <w:t>ójeckim wynosiła 4,5%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zmalała</w:t>
      </w:r>
      <w:r w:rsidRPr="00511ADF">
        <w:rPr>
          <w:rFonts w:ascii="Times New Roman" w:hAnsi="Times New Roman" w:cs="Times New Roman"/>
          <w:sz w:val="26"/>
          <w:szCs w:val="26"/>
        </w:rPr>
        <w:t xml:space="preserve"> w porównaniu do ubiegłego roku o 1,8%. </w:t>
      </w:r>
    </w:p>
    <w:p w:rsidR="006A4235" w:rsidRDefault="006A4235" w:rsidP="00511ADF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Zawody, w których najtrudniej znaleźć </w:t>
      </w:r>
      <w:r w:rsidR="005B4DCC">
        <w:rPr>
          <w:rFonts w:ascii="Times New Roman" w:hAnsi="Times New Roman" w:cs="Times New Roman"/>
          <w:sz w:val="26"/>
          <w:szCs w:val="26"/>
        </w:rPr>
        <w:t>odpowiednich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4DCC">
        <w:rPr>
          <w:rFonts w:ascii="Times New Roman" w:hAnsi="Times New Roman" w:cs="Times New Roman"/>
          <w:sz w:val="26"/>
          <w:szCs w:val="26"/>
        </w:rPr>
        <w:t>kandydatów</w:t>
      </w:r>
      <w:r>
        <w:rPr>
          <w:rFonts w:ascii="Times New Roman" w:hAnsi="Times New Roman" w:cs="Times New Roman"/>
          <w:sz w:val="26"/>
          <w:szCs w:val="26"/>
        </w:rPr>
        <w:t xml:space="preserve"> do pracy to: introligatorzy i pokrewni, inżynierowie telekomunikacji, kosmetyczki i pokrewni, krawcy, kuśnierze, </w:t>
      </w:r>
      <w:r w:rsidR="005B4DCC">
        <w:rPr>
          <w:rFonts w:ascii="Times New Roman" w:hAnsi="Times New Roman" w:cs="Times New Roman"/>
          <w:sz w:val="26"/>
          <w:szCs w:val="26"/>
        </w:rPr>
        <w:t>kapelusznicy</w:t>
      </w:r>
      <w:r>
        <w:rPr>
          <w:rFonts w:ascii="Times New Roman" w:hAnsi="Times New Roman" w:cs="Times New Roman"/>
          <w:sz w:val="26"/>
          <w:szCs w:val="26"/>
        </w:rPr>
        <w:t xml:space="preserve"> i pokrewni, księgowi, nauczy</w:t>
      </w:r>
      <w:r w:rsidR="005B4DCC">
        <w:rPr>
          <w:rFonts w:ascii="Times New Roman" w:hAnsi="Times New Roman" w:cs="Times New Roman"/>
          <w:sz w:val="26"/>
          <w:szCs w:val="26"/>
        </w:rPr>
        <w:t xml:space="preserve">ciele kształcenia zawodowego, pracownicy wsparcia rodziny, pomocy społecznej i pracy socjalnej, technicy farmaceutyczni. </w:t>
      </w:r>
    </w:p>
    <w:p w:rsidR="005B4DCC" w:rsidRDefault="005B4DCC" w:rsidP="00511ADF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2015 największy napływ osób bezrobotnych był w grupach zawodów: pracownicy usług i sprzedawcy, robotnicy przemysłowi i rzemieślnicy, operatorzy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monterzy maszyn i rządzeń, pracownicy wykonujący prace proste.</w:t>
      </w:r>
    </w:p>
    <w:p w:rsidR="005B4DCC" w:rsidRDefault="005B4DCC" w:rsidP="00511ADF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Najmniejszy napływ nastąpił w grupach</w:t>
      </w:r>
      <w:r w:rsidR="00C576A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siły zbrojne, kierownicy, specjaliści oraz pracownicy biurowi.</w:t>
      </w:r>
    </w:p>
    <w:p w:rsidR="005B4DCC" w:rsidRDefault="005B4DCC" w:rsidP="005B4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Największy odpływ zarejestrowano w grupach zawodów: pracownicy usług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sprzedawcy, robotnicy przemysłowi i rzemieślnicy, operatorzy i monterzy maszyn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urządzeń. </w:t>
      </w:r>
    </w:p>
    <w:p w:rsidR="005B4DCC" w:rsidRDefault="005B4DCC" w:rsidP="005B4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Najmniejszy odpływ zanotowano w zawodach z grup: siły zbrojne, kierownicy, rolnicy, ogrodnicy, leśnicy i rybacy. </w:t>
      </w:r>
    </w:p>
    <w:p w:rsidR="005B4DCC" w:rsidRDefault="005B4DCC" w:rsidP="005B4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Wśród absolwentów najliczniejszą grupę stanowili bezrobotni </w:t>
      </w:r>
      <w:r w:rsidR="00DF6B18">
        <w:rPr>
          <w:rFonts w:ascii="Times New Roman" w:hAnsi="Times New Roman" w:cs="Times New Roman"/>
          <w:sz w:val="26"/>
          <w:szCs w:val="26"/>
        </w:rPr>
        <w:t>posiadający zawody</w:t>
      </w:r>
      <w:r>
        <w:rPr>
          <w:rFonts w:ascii="Times New Roman" w:hAnsi="Times New Roman" w:cs="Times New Roman"/>
          <w:sz w:val="26"/>
          <w:szCs w:val="26"/>
        </w:rPr>
        <w:t>: technicy i średni personel, specjaliści, robotnicy przemysłowi i rzemieślnicy, pracownicy usług i sprzedawcy.</w:t>
      </w:r>
    </w:p>
    <w:p w:rsidR="000C7A2A" w:rsidRDefault="005B4DCC" w:rsidP="005B4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7A2A">
        <w:rPr>
          <w:rFonts w:ascii="Times New Roman" w:hAnsi="Times New Roman" w:cs="Times New Roman"/>
          <w:sz w:val="26"/>
          <w:szCs w:val="26"/>
        </w:rPr>
        <w:t>Wśród bezrobotnych długotrwale zarejestrowanych najliczniejszą gru</w:t>
      </w:r>
      <w:r w:rsidR="00E600D8">
        <w:rPr>
          <w:rFonts w:ascii="Times New Roman" w:hAnsi="Times New Roman" w:cs="Times New Roman"/>
          <w:sz w:val="26"/>
          <w:szCs w:val="26"/>
        </w:rPr>
        <w:t>pą były osoby posiadające zawody takie jak</w:t>
      </w:r>
      <w:r w:rsidR="000C7A2A">
        <w:rPr>
          <w:rFonts w:ascii="Times New Roman" w:hAnsi="Times New Roman" w:cs="Times New Roman"/>
          <w:sz w:val="26"/>
          <w:szCs w:val="26"/>
        </w:rPr>
        <w:t>: robotnicy przemysłowi i rzemieślnicy, pracownicy usług i sprzedawcy, pracownicy wykonujący prace proste, technicy i średni personel, operatorzy i monterzy maszyn i urządzeń.</w:t>
      </w:r>
    </w:p>
    <w:p w:rsidR="009D2C1E" w:rsidRDefault="000C7A2A" w:rsidP="001C141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C141E" w:rsidRPr="00C6792B">
        <w:rPr>
          <w:rFonts w:ascii="Times New Roman" w:hAnsi="Times New Roman" w:cs="Times New Roman"/>
          <w:sz w:val="26"/>
          <w:szCs w:val="26"/>
        </w:rPr>
        <w:t>W 2015 roku Powiatowy Urząd Pracy w Grójcu posiadał 3051 ofert pracy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 w:rsidR="001C141E" w:rsidRPr="00C6792B">
        <w:rPr>
          <w:rFonts w:ascii="Times New Roman" w:hAnsi="Times New Roman" w:cs="Times New Roman"/>
          <w:sz w:val="26"/>
          <w:szCs w:val="26"/>
        </w:rPr>
        <w:t>aktywizacji zawodowej</w:t>
      </w:r>
      <w:r w:rsidR="00C576AE">
        <w:rPr>
          <w:rFonts w:ascii="Times New Roman" w:hAnsi="Times New Roman" w:cs="Times New Roman"/>
          <w:sz w:val="26"/>
          <w:szCs w:val="26"/>
        </w:rPr>
        <w:t>,</w:t>
      </w:r>
      <w:r w:rsidR="001C141E" w:rsidRPr="00C6792B">
        <w:rPr>
          <w:rFonts w:ascii="Times New Roman" w:hAnsi="Times New Roman" w:cs="Times New Roman"/>
          <w:sz w:val="26"/>
          <w:szCs w:val="26"/>
        </w:rPr>
        <w:t xml:space="preserve"> w tym</w:t>
      </w:r>
      <w:r w:rsidR="001C141E">
        <w:rPr>
          <w:rFonts w:ascii="Times New Roman" w:hAnsi="Times New Roman" w:cs="Times New Roman"/>
          <w:sz w:val="26"/>
          <w:szCs w:val="26"/>
        </w:rPr>
        <w:t xml:space="preserve"> 42 dla osób niepełnosprawnych. Najwięcej ofert </w:t>
      </w:r>
      <w:r>
        <w:rPr>
          <w:rFonts w:ascii="Times New Roman" w:hAnsi="Times New Roman" w:cs="Times New Roman"/>
          <w:sz w:val="26"/>
          <w:szCs w:val="26"/>
        </w:rPr>
        <w:t xml:space="preserve">wpłynęło w zawodach z grup: </w:t>
      </w:r>
      <w:r w:rsidR="009D2C1E">
        <w:rPr>
          <w:rFonts w:ascii="Times New Roman" w:hAnsi="Times New Roman" w:cs="Times New Roman"/>
          <w:sz w:val="26"/>
          <w:szCs w:val="26"/>
        </w:rPr>
        <w:t>pracownicy wykonujący prace proste, pracownicy usług i sprzedawcy, pracownicy biurowi, operatorzy i monterzy maszyn i urządzeń.</w:t>
      </w:r>
    </w:p>
    <w:p w:rsidR="005B4DCC" w:rsidRDefault="009D2C1E" w:rsidP="005B4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Analiza ofert publikowanych na stronach internetowych (w tym w Biuletynie Informacji Publicznej) wykazała że w ten sposób zamieszczane są najczęściej oferty pracy w grupach zawodów: specjaliści, </w:t>
      </w:r>
      <w:r w:rsidR="0066539B">
        <w:rPr>
          <w:rFonts w:ascii="Times New Roman" w:hAnsi="Times New Roman" w:cs="Times New Roman"/>
          <w:sz w:val="26"/>
          <w:szCs w:val="26"/>
        </w:rPr>
        <w:t xml:space="preserve">kierownicy, pracownicy biurowi. </w:t>
      </w:r>
    </w:p>
    <w:p w:rsidR="0066539B" w:rsidRDefault="0066539B" w:rsidP="005B4D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Największy odsetek ofert subsydiowanych zaobserwowano w grupach zawodów: robotnicy przemysłowi i rzemieślnicy, operatorzy i monterzy maszyn i urządzeń, pracownicy wykonujący prace proste. </w:t>
      </w:r>
    </w:p>
    <w:p w:rsidR="006A4235" w:rsidRDefault="001C141E" w:rsidP="001C14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Ze zgromadzonego materiały wynika że, najwięcej osób bezrobotnych zarejestrowanych w Powiatowym Urzędzie Pracy, stanowiły osoby posiadające zawody: sprzedawca, technik prac biurowych, robotnik gospodarczy, pomocniczy robotnik budowlany, operator urządzeń do produkcji wyrobów cukierniczych, ślusarz, magazynier, sprzątaczka biurowa, kucharz, </w:t>
      </w:r>
      <w:r w:rsidR="002A7988">
        <w:rPr>
          <w:rFonts w:ascii="Times New Roman" w:hAnsi="Times New Roman" w:cs="Times New Roman"/>
          <w:sz w:val="26"/>
          <w:szCs w:val="26"/>
        </w:rPr>
        <w:t xml:space="preserve">pakowacz ręczny, robotnik placowy, mechanik pojazdów samochodowych, pozostali pracownicy ochrony osób i mienia, murarz, pomocniczy robotnik w przemyśle przetwórczym, kierowca samochodu ciężarowego, ekonomista, fryzjer, hydraulik, oraz cukiernik. </w:t>
      </w:r>
    </w:p>
    <w:p w:rsidR="002A7988" w:rsidRDefault="002A7988" w:rsidP="001C14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Największy wskaźnik długotrwałego bezrobocia obserwujemy w zawodach: inżynierowie budownictwa, inżynierowie gdzie indziej niesklasyfikowani, pielęgniarki bez specjalizacji, nauczyciele gimnazjów i szkół ponadgimnazjalnych, doradcy finansowi i inwestycyjni, bibliotekoznawcy i specjaliści zarządzania informacją, filolodzy i tłumacze, technicy elektrycy, operatorzy urządzeń do spalania odpadów, uzdatniania wody i pokrewni, kontrolerzy (sterowniczy) procesów przemysłowych gdzie indziej niesklasyfikowani, praktykujący niekonwencjonalne lub komplementarne metody terapii, agenci ubezpieczeniowi, zaopatrzeniowcy, sekretarze medyczni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pokrewni, funkcjonariusze celni i ochrony granic, średni personel z dziedziny prawa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pokrewni, operatorzy urządzeń telekomunikacyjnych, pracownicy centrów obsługi telefonicznej (pracownicy </w:t>
      </w:r>
      <w:proofErr w:type="spellStart"/>
      <w:r>
        <w:rPr>
          <w:rFonts w:ascii="Times New Roman" w:hAnsi="Times New Roman" w:cs="Times New Roman"/>
          <w:sz w:val="26"/>
          <w:szCs w:val="26"/>
        </w:rPr>
        <w:t>call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center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kosmetyczki i pokrewni, właściciele sklepów, robotnicy upraw polowych, robotnicy leśni i pokrewni, </w:t>
      </w:r>
      <w:r w:rsidR="00EA35FD">
        <w:rPr>
          <w:rFonts w:ascii="Times New Roman" w:hAnsi="Times New Roman" w:cs="Times New Roman"/>
          <w:sz w:val="26"/>
          <w:szCs w:val="26"/>
        </w:rPr>
        <w:t xml:space="preserve">robotnicy robót stanu surowego </w:t>
      </w:r>
      <w:r w:rsidR="00EA35FD">
        <w:rPr>
          <w:rFonts w:ascii="Times New Roman" w:hAnsi="Times New Roman" w:cs="Times New Roman"/>
          <w:sz w:val="26"/>
          <w:szCs w:val="26"/>
        </w:rPr>
        <w:lastRenderedPageBreak/>
        <w:t xml:space="preserve">i pokrewni, posadzkarze, parkieciarze i glazurnicy, tynkarze i pokrewni, szklarze, introligatorzy i pokrewni, masarze, robotnicy w przetwórstwie ryb i pokrewni, robotnicy przetwórstwa surowców roślinnych, operatorzy urządzeń do obróbki powierzchniowej metali i nakładania powłok, operatorzy maszyn przędzalniczych i pokrewni, monterzy sprzętu elektrycznego, maszyniści i operatorzy maszyn i urządzeń dźwigowo – transportowych i pokrewni, praczki ręczne i prasowacze, ładowacze nieczystości. </w:t>
      </w:r>
    </w:p>
    <w:p w:rsidR="00EA35FD" w:rsidRDefault="00EA35FD" w:rsidP="001C14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We wszystkich powyższych zawodach wskaźnik długotrwałego bezrobocia jest na poziomie 100.00</w:t>
      </w:r>
      <w:r w:rsidR="008F3BB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 to oznacza, że 100% bezrobotnych zarejestrowanych w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Powiatowym Urzędzie Pracy w Grójcu</w:t>
      </w:r>
      <w:r w:rsidR="008F3BBD">
        <w:rPr>
          <w:rFonts w:ascii="Times New Roman" w:hAnsi="Times New Roman" w:cs="Times New Roman"/>
          <w:sz w:val="26"/>
          <w:szCs w:val="26"/>
        </w:rPr>
        <w:t xml:space="preserve"> i posiadających jeden z w/w zawodów</w:t>
      </w:r>
      <w:r>
        <w:rPr>
          <w:rFonts w:ascii="Times New Roman" w:hAnsi="Times New Roman" w:cs="Times New Roman"/>
          <w:sz w:val="26"/>
          <w:szCs w:val="26"/>
        </w:rPr>
        <w:t xml:space="preserve">, pozostaje w bazie urzędu powyżej 12 miesięcy. </w:t>
      </w:r>
    </w:p>
    <w:p w:rsidR="00EA35FD" w:rsidRDefault="00EA35FD" w:rsidP="001C14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Grupy zawodów, dla których wskaźnik płynności bezrobotnych jest najwyższy w 2015 roku to: pracownicy do spraw kredytów, pożyczek i pokrewni, inżynierowie chemicy i pokrewni, specjaliści ds. public relations, operatorzy urządzeń do spalania odpadów, uzdatniania wody i pokrewni, pracownicy obsługi technicznej biur, hoteli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innych obiektów, właściciele sklepów, </w:t>
      </w:r>
      <w:r w:rsidR="00C726E4">
        <w:rPr>
          <w:rFonts w:ascii="Times New Roman" w:hAnsi="Times New Roman" w:cs="Times New Roman"/>
          <w:sz w:val="26"/>
          <w:szCs w:val="26"/>
        </w:rPr>
        <w:t xml:space="preserve">tynkarze i pokrewni, specjaliści nauk o ziemi, specjaliści ds. ochrony środowiska, inżynierowie ds. przemysłu i produkcji, inżynierowie budownictwa, nauczyciele kształcenia zawodowego, nauczyciele gimnazjów i szkół ponadgimnazjalnych. </w:t>
      </w:r>
    </w:p>
    <w:p w:rsidR="00C726E4" w:rsidRDefault="00C726E4" w:rsidP="001C14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Natomiast najmniejszy wskaźnik płynności bezrobotnych występował w grup</w:t>
      </w:r>
      <w:r w:rsidR="00C576AE">
        <w:rPr>
          <w:rFonts w:ascii="Times New Roman" w:hAnsi="Times New Roman" w:cs="Times New Roman"/>
          <w:sz w:val="26"/>
          <w:szCs w:val="26"/>
        </w:rPr>
        <w:t>ach</w:t>
      </w:r>
      <w:r>
        <w:rPr>
          <w:rFonts w:ascii="Times New Roman" w:hAnsi="Times New Roman" w:cs="Times New Roman"/>
          <w:sz w:val="26"/>
          <w:szCs w:val="26"/>
        </w:rPr>
        <w:t xml:space="preserve"> zawodów: </w:t>
      </w:r>
      <w:r w:rsidR="00CA3555">
        <w:rPr>
          <w:rFonts w:ascii="Times New Roman" w:hAnsi="Times New Roman" w:cs="Times New Roman"/>
          <w:sz w:val="26"/>
          <w:szCs w:val="26"/>
        </w:rPr>
        <w:t xml:space="preserve">kierownicy ds. strategii i planowania, kierownicy ds. technologii informatycznych i telekomunikacyjnych, chemicy, specjaliści ds. rynku nieruchomości, kontrolerzy ruchu lotniczego i personel pokrewny, rzeczoznawcy (z wyłączeniem majątkowych), urzędnicy ds. podatków, operatorzy urządzeń telekomunikacyjnych, uliczni sprzedawcy żywności, pracownicy przy pracach przygotowawczych do druku, </w:t>
      </w:r>
      <w:proofErr w:type="spellStart"/>
      <w:r w:rsidR="00CA3555">
        <w:rPr>
          <w:rFonts w:ascii="Times New Roman" w:hAnsi="Times New Roman" w:cs="Times New Roman"/>
          <w:sz w:val="26"/>
          <w:szCs w:val="26"/>
        </w:rPr>
        <w:t>wyprawiacze</w:t>
      </w:r>
      <w:proofErr w:type="spellEnd"/>
      <w:r w:rsidR="00CA3555">
        <w:rPr>
          <w:rFonts w:ascii="Times New Roman" w:hAnsi="Times New Roman" w:cs="Times New Roman"/>
          <w:sz w:val="26"/>
          <w:szCs w:val="26"/>
        </w:rPr>
        <w:t xml:space="preserve"> skór, garbarze i pokrewni, operatorzy urządzeń wiertniczych i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 w:rsidR="00CA3555">
        <w:rPr>
          <w:rFonts w:ascii="Times New Roman" w:hAnsi="Times New Roman" w:cs="Times New Roman"/>
          <w:sz w:val="26"/>
          <w:szCs w:val="26"/>
        </w:rPr>
        <w:t xml:space="preserve">wydobywczych ropy, gazu i innych surowców, inżynierowie mechanicy, kierownicy ds. budownictwa, kierownicy ds. logistyki dziedzin i pokrewni. </w:t>
      </w:r>
    </w:p>
    <w:p w:rsidR="006E5992" w:rsidRDefault="006E5992" w:rsidP="001C14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Porównanie struktury ofert pracy zgłaszanych do PUP</w:t>
      </w:r>
      <w:r w:rsidR="00C576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ze strukturą ofert pracy zamieszczanych na publicznych portalach rekrutacyjnych</w:t>
      </w:r>
      <w:r w:rsidR="00DF6B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wykazuje iż</w:t>
      </w:r>
      <w:r w:rsidR="00C576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100% ofert w</w:t>
      </w:r>
      <w:r w:rsidR="00DF6B1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grupach zawodów: </w:t>
      </w:r>
      <w:r w:rsidR="00A94A27">
        <w:rPr>
          <w:rFonts w:ascii="Times New Roman" w:hAnsi="Times New Roman" w:cs="Times New Roman"/>
          <w:sz w:val="26"/>
          <w:szCs w:val="26"/>
        </w:rPr>
        <w:t xml:space="preserve">operatorzy i monterzy maszyn i urządzeń, pracownicy </w:t>
      </w:r>
      <w:r w:rsidR="00A94A27">
        <w:rPr>
          <w:rFonts w:ascii="Times New Roman" w:hAnsi="Times New Roman" w:cs="Times New Roman"/>
          <w:sz w:val="26"/>
          <w:szCs w:val="26"/>
        </w:rPr>
        <w:lastRenderedPageBreak/>
        <w:t>wykonujący prace proste, rolnicy, ogrodnicy, leśnicy i rybacy</w:t>
      </w:r>
      <w:r w:rsidR="00DF6B18">
        <w:rPr>
          <w:rFonts w:ascii="Times New Roman" w:hAnsi="Times New Roman" w:cs="Times New Roman"/>
          <w:sz w:val="26"/>
          <w:szCs w:val="26"/>
        </w:rPr>
        <w:t>,</w:t>
      </w:r>
      <w:r w:rsidR="00A94A27">
        <w:rPr>
          <w:rFonts w:ascii="Times New Roman" w:hAnsi="Times New Roman" w:cs="Times New Roman"/>
          <w:sz w:val="26"/>
          <w:szCs w:val="26"/>
        </w:rPr>
        <w:t xml:space="preserve"> trafia do realizacji do Powiatowego Urzędu Pracy w Grójcu.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235" w:rsidRPr="006A4235" w:rsidRDefault="00A94A27" w:rsidP="00A94A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Więcej ofert poza urzędem pracy</w:t>
      </w:r>
      <w:r w:rsidR="00DF6B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poszukiwanych jest w zawodach: kierownicy, pracownicy biurowi, pracownicy usług i sprzedawcy, specjaliści i średni personel techniczny. 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1359"/>
        <w:gridCol w:w="870"/>
        <w:gridCol w:w="1599"/>
        <w:gridCol w:w="40"/>
      </w:tblGrid>
      <w:tr w:rsidR="008D13CB" w:rsidRPr="008D13CB" w:rsidTr="00CA3555">
        <w:trPr>
          <w:trHeight w:val="30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3CB" w:rsidRPr="008D13CB" w:rsidRDefault="008D13CB" w:rsidP="008D13C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9240" w:type="dxa"/>
            <w:gridSpan w:val="4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6E59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4" w:name="RANGE!A1"/>
            <w:r w:rsidRPr="00CA355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1. </w:t>
            </w:r>
            <w:bookmarkEnd w:id="4"/>
            <w:r w:rsidR="006E599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Wskaźnik zróżnicowania struktury ofert pracy w 2015 roku</w:t>
            </w: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542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wskaźnik struktury według źródeł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6E5992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PUP</w:t>
            </w:r>
            <w:r w:rsidR="00CA3555"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6E5992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Internet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55" w:rsidRPr="00CA3555" w:rsidTr="00A94A27">
        <w:trPr>
          <w:gridAfter w:val="1"/>
          <w:wAfter w:w="40" w:type="dxa"/>
          <w:trHeight w:val="450"/>
        </w:trPr>
        <w:tc>
          <w:tcPr>
            <w:tcW w:w="542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96,26%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A94A27">
        <w:trPr>
          <w:gridAfter w:val="1"/>
          <w:wAfter w:w="40" w:type="dxa"/>
          <w:trHeight w:val="24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 MONTERZY MASZYN I URZĄDZEŃ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A94A27">
        <w:trPr>
          <w:gridAfter w:val="1"/>
          <w:wAfter w:w="40" w:type="dxa"/>
          <w:trHeight w:val="258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BIUROWI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62,57%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A94A27">
        <w:trPr>
          <w:gridAfter w:val="1"/>
          <w:wAfter w:w="40" w:type="dxa"/>
          <w:trHeight w:val="276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33,25%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A94A27">
        <w:trPr>
          <w:gridAfter w:val="1"/>
          <w:wAfter w:w="40" w:type="dxa"/>
          <w:trHeight w:val="266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A94A27">
        <w:trPr>
          <w:gridAfter w:val="1"/>
          <w:wAfter w:w="40" w:type="dxa"/>
          <w:trHeight w:val="27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A94A27">
        <w:trPr>
          <w:gridAfter w:val="1"/>
          <w:wAfter w:w="40" w:type="dxa"/>
          <w:trHeight w:val="287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ROLNICY, OGRODNICY, LEŚNICY I RYBACY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87,62%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A94A27">
        <w:trPr>
          <w:gridAfter w:val="1"/>
          <w:wAfter w:w="40" w:type="dxa"/>
          <w:trHeight w:val="24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65,05%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542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wskaźnik struktury wg grup w poszczególnych źródłach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Wskaźnik zróżnicowania (PUP vs. Internet)</w:t>
            </w:r>
          </w:p>
        </w:tc>
      </w:tr>
      <w:tr w:rsidR="00CA3555" w:rsidRPr="00CA3555" w:rsidTr="00CA3555">
        <w:trPr>
          <w:gridAfter w:val="1"/>
          <w:wAfter w:w="40" w:type="dxa"/>
          <w:trHeight w:val="450"/>
        </w:trPr>
        <w:tc>
          <w:tcPr>
            <w:tcW w:w="542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24,29%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0,04 </w:t>
            </w:r>
          </w:p>
        </w:tc>
      </w:tr>
      <w:tr w:rsidR="00CA3555" w:rsidRPr="00CA3555" w:rsidTr="00A94A27">
        <w:trPr>
          <w:gridAfter w:val="1"/>
          <w:wAfter w:w="40" w:type="dxa"/>
          <w:trHeight w:val="304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 MONTERZY MASZYN I URZĄDZEŃ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9,21%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55" w:rsidRPr="00CA3555" w:rsidTr="00A94A27">
        <w:trPr>
          <w:gridAfter w:val="1"/>
          <w:wAfter w:w="40" w:type="dxa"/>
          <w:trHeight w:val="28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BIUROWI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0,60 </w:t>
            </w:r>
          </w:p>
        </w:tc>
      </w:tr>
      <w:tr w:rsidR="00CA3555" w:rsidRPr="00CA3555" w:rsidTr="00A94A27">
        <w:trPr>
          <w:gridAfter w:val="1"/>
          <w:wAfter w:w="40" w:type="dxa"/>
          <w:trHeight w:val="128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11,43%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2,01 </w:t>
            </w:r>
          </w:p>
        </w:tc>
      </w:tr>
      <w:tr w:rsidR="00CA3555" w:rsidRPr="00CA3555" w:rsidTr="00A94A27">
        <w:trPr>
          <w:gridAfter w:val="1"/>
          <w:wAfter w:w="40" w:type="dxa"/>
          <w:trHeight w:val="174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35,10%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55" w:rsidRPr="00CA3555" w:rsidTr="00A94A27">
        <w:trPr>
          <w:gridAfter w:val="1"/>
          <w:wAfter w:w="40" w:type="dxa"/>
          <w:trHeight w:val="192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55" w:rsidRPr="00CA3555" w:rsidTr="00A94A27">
        <w:trPr>
          <w:gridAfter w:val="1"/>
          <w:wAfter w:w="40" w:type="dxa"/>
          <w:trHeight w:val="182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ROLNICY, OGRODNICY, LEŚNICY I RYBACY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55" w:rsidRPr="00CA3555" w:rsidTr="00CA3555">
        <w:trPr>
          <w:gridAfter w:val="1"/>
          <w:wAfter w:w="40" w:type="dxa"/>
          <w:trHeight w:val="300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32,86%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0,14 </w:t>
            </w:r>
          </w:p>
        </w:tc>
      </w:tr>
      <w:tr w:rsidR="00CA3555" w:rsidRPr="00CA3555" w:rsidTr="00A94A27">
        <w:trPr>
          <w:gridAfter w:val="1"/>
          <w:wAfter w:w="40" w:type="dxa"/>
          <w:trHeight w:val="177"/>
        </w:trPr>
        <w:tc>
          <w:tcPr>
            <w:tcW w:w="5420" w:type="dxa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11,43%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A3555" w:rsidRPr="00CA3555" w:rsidRDefault="00CA3555" w:rsidP="00CA3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A3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0,54 </w:t>
            </w:r>
          </w:p>
        </w:tc>
      </w:tr>
    </w:tbl>
    <w:p w:rsidR="00AB0EAF" w:rsidRDefault="00AB0EAF" w:rsidP="00BB7BF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4A27" w:rsidRDefault="00A94A27" w:rsidP="00BB7BF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4A27" w:rsidRDefault="00A94A27" w:rsidP="00BB7BF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4A27" w:rsidRDefault="00A94A27" w:rsidP="00BB7BF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94A27" w:rsidRDefault="00A94A27" w:rsidP="00BB7BF5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E393D" w:rsidRPr="00DF6B18" w:rsidRDefault="008D13CB" w:rsidP="00993BDB">
      <w:pPr>
        <w:pStyle w:val="Nagwek1"/>
        <w:numPr>
          <w:ilvl w:val="0"/>
          <w:numId w:val="1"/>
        </w:numPr>
        <w:rPr>
          <w:b/>
        </w:rPr>
      </w:pPr>
      <w:bookmarkStart w:id="5" w:name="_Toc449705511"/>
      <w:r w:rsidRPr="00DF6B18">
        <w:rPr>
          <w:b/>
        </w:rPr>
        <w:lastRenderedPageBreak/>
        <w:t>Ranking zawodów deficytowych i nadwyżkowych</w:t>
      </w:r>
      <w:bookmarkEnd w:id="5"/>
    </w:p>
    <w:p w:rsidR="008D13CB" w:rsidRPr="008D13CB" w:rsidRDefault="008D13CB" w:rsidP="00AD1382">
      <w:pPr>
        <w:pStyle w:val="Nagwek1"/>
      </w:pPr>
    </w:p>
    <w:p w:rsidR="00F176D2" w:rsidRPr="00F176D2" w:rsidRDefault="00F176D2" w:rsidP="00F176D2">
      <w:pPr>
        <w:pStyle w:val="Tekstpodstawowy"/>
        <w:ind w:firstLine="708"/>
        <w:rPr>
          <w:rFonts w:ascii="Times New Roman" w:hAnsi="Times New Roman"/>
          <w:sz w:val="26"/>
          <w:szCs w:val="26"/>
        </w:rPr>
      </w:pPr>
      <w:r w:rsidRPr="00F176D2">
        <w:rPr>
          <w:rFonts w:ascii="Times New Roman" w:hAnsi="Times New Roman"/>
          <w:sz w:val="26"/>
          <w:szCs w:val="26"/>
        </w:rPr>
        <w:t>Analiza zawodów deficytowych i nadwyżkowych dokonywana jest na podstawie wskaźnika intensywności nadwyżki (deficytu) zawodów. Jest to procentowy udział liczby zgłaszanych w danym zawodzie ofert pracy</w:t>
      </w:r>
      <w:r w:rsidR="008F3BBD">
        <w:rPr>
          <w:rFonts w:ascii="Times New Roman" w:hAnsi="Times New Roman"/>
          <w:sz w:val="26"/>
          <w:szCs w:val="26"/>
        </w:rPr>
        <w:t>,</w:t>
      </w:r>
      <w:r w:rsidRPr="00F176D2">
        <w:rPr>
          <w:rFonts w:ascii="Times New Roman" w:hAnsi="Times New Roman"/>
          <w:sz w:val="26"/>
          <w:szCs w:val="26"/>
        </w:rPr>
        <w:t xml:space="preserve"> w liczbie zarejestrowanych w tym zawodzie</w:t>
      </w:r>
      <w:r w:rsidR="00DF6B18">
        <w:rPr>
          <w:rFonts w:ascii="Times New Roman" w:hAnsi="Times New Roman"/>
          <w:sz w:val="26"/>
          <w:szCs w:val="26"/>
        </w:rPr>
        <w:t xml:space="preserve"> osób</w:t>
      </w:r>
      <w:r w:rsidRPr="00F176D2">
        <w:rPr>
          <w:rFonts w:ascii="Times New Roman" w:hAnsi="Times New Roman"/>
          <w:sz w:val="26"/>
          <w:szCs w:val="26"/>
        </w:rPr>
        <w:t xml:space="preserve"> bezrobotnych. </w:t>
      </w:r>
    </w:p>
    <w:p w:rsidR="008D13CB" w:rsidRDefault="008D13CB" w:rsidP="005E39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49"/>
        <w:gridCol w:w="1069"/>
        <w:gridCol w:w="1613"/>
        <w:gridCol w:w="1613"/>
        <w:gridCol w:w="779"/>
        <w:gridCol w:w="319"/>
        <w:gridCol w:w="845"/>
        <w:gridCol w:w="388"/>
        <w:gridCol w:w="1192"/>
        <w:gridCol w:w="257"/>
        <w:gridCol w:w="815"/>
        <w:gridCol w:w="13"/>
        <w:gridCol w:w="173"/>
        <w:gridCol w:w="12"/>
      </w:tblGrid>
      <w:tr w:rsidR="00AF26F8" w:rsidRPr="00AF26F8" w:rsidTr="00F176D2">
        <w:trPr>
          <w:gridAfter w:val="1"/>
          <w:wAfter w:w="9" w:type="dxa"/>
          <w:trHeight w:val="273"/>
        </w:trPr>
        <w:tc>
          <w:tcPr>
            <w:tcW w:w="9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6F8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2. Ranking elementarnych grup zawodów deficytowych w 2015 roku</w:t>
            </w:r>
          </w:p>
        </w:tc>
      </w:tr>
      <w:tr w:rsidR="00AF26F8" w:rsidRPr="00AF26F8" w:rsidTr="00F176D2">
        <w:trPr>
          <w:gridAfter w:val="1"/>
          <w:wAfter w:w="9" w:type="dxa"/>
          <w:trHeight w:val="286"/>
        </w:trPr>
        <w:tc>
          <w:tcPr>
            <w:tcW w:w="9587" w:type="dxa"/>
            <w:gridSpan w:val="1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MAKSYMALNY DEFICYT*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9" w:type="dxa"/>
          <w:trHeight w:val="614"/>
        </w:trPr>
        <w:tc>
          <w:tcPr>
            <w:tcW w:w="69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5076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16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dostępnych ofert pracy</w:t>
            </w:r>
          </w:p>
        </w:tc>
        <w:tc>
          <w:tcPr>
            <w:tcW w:w="158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10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9" w:type="dxa"/>
          <w:trHeight w:val="273"/>
        </w:trPr>
        <w:tc>
          <w:tcPr>
            <w:tcW w:w="69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5076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116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9" w:type="dxa"/>
          <w:trHeight w:val="273"/>
        </w:trPr>
        <w:tc>
          <w:tcPr>
            <w:tcW w:w="69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5076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  <w:tc>
          <w:tcPr>
            <w:tcW w:w="116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9" w:type="dxa"/>
          <w:trHeight w:val="273"/>
        </w:trPr>
        <w:tc>
          <w:tcPr>
            <w:tcW w:w="69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5076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Lektorzy języków obcych</w:t>
            </w:r>
          </w:p>
        </w:tc>
        <w:tc>
          <w:tcPr>
            <w:tcW w:w="116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9" w:type="dxa"/>
          <w:trHeight w:val="273"/>
        </w:trPr>
        <w:tc>
          <w:tcPr>
            <w:tcW w:w="69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5076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116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9" w:type="dxa"/>
          <w:trHeight w:val="273"/>
        </w:trPr>
        <w:tc>
          <w:tcPr>
            <w:tcW w:w="69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5222</w:t>
            </w:r>
          </w:p>
        </w:tc>
        <w:tc>
          <w:tcPr>
            <w:tcW w:w="5076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116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9" w:type="dxa"/>
          <w:trHeight w:val="273"/>
        </w:trPr>
        <w:tc>
          <w:tcPr>
            <w:tcW w:w="695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8114</w:t>
            </w:r>
          </w:p>
        </w:tc>
        <w:tc>
          <w:tcPr>
            <w:tcW w:w="5076" w:type="dxa"/>
            <w:gridSpan w:val="4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116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F176D2">
        <w:trPr>
          <w:trHeight w:val="424"/>
        </w:trPr>
        <w:tc>
          <w:tcPr>
            <w:tcW w:w="9600" w:type="dxa"/>
            <w:gridSpan w:val="1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DEFICYT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803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dostępnych ofert pracy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dostępności ofert pracy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134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4214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Windykatorzy</w:t>
            </w:r>
            <w:proofErr w:type="spellEnd"/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pokrewni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296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438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415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7116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422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697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9211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751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DF6B18">
        <w:trPr>
          <w:gridAfter w:val="1"/>
          <w:wAfter w:w="12" w:type="dxa"/>
          <w:trHeight w:val="678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produkcji przemysłowej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26F8" w:rsidRPr="00AF26F8" w:rsidTr="00F176D2">
        <w:trPr>
          <w:gridAfter w:val="1"/>
          <w:wAfter w:w="12" w:type="dxa"/>
          <w:trHeight w:val="910"/>
        </w:trPr>
        <w:tc>
          <w:tcPr>
            <w:tcW w:w="54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1218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6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098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233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4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F26F8" w:rsidRDefault="00AF26F8" w:rsidP="005E39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176D2" w:rsidRDefault="00F176D2" w:rsidP="00F176D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6D2">
        <w:rPr>
          <w:rFonts w:ascii="Times New Roman" w:hAnsi="Times New Roman" w:cs="Times New Roman"/>
          <w:sz w:val="26"/>
          <w:szCs w:val="26"/>
        </w:rPr>
        <w:lastRenderedPageBreak/>
        <w:t xml:space="preserve">Zawody deficytowe, </w:t>
      </w:r>
      <w:r w:rsidR="000F3F2F">
        <w:rPr>
          <w:rFonts w:ascii="Times New Roman" w:hAnsi="Times New Roman" w:cs="Times New Roman"/>
          <w:sz w:val="26"/>
          <w:szCs w:val="26"/>
        </w:rPr>
        <w:t>charakteryzują się większą liczbą dostępnych ofert pracy</w:t>
      </w:r>
      <w:r w:rsidR="00DF6B18">
        <w:rPr>
          <w:rFonts w:ascii="Times New Roman" w:hAnsi="Times New Roman" w:cs="Times New Roman"/>
          <w:sz w:val="26"/>
          <w:szCs w:val="26"/>
        </w:rPr>
        <w:t>,</w:t>
      </w:r>
      <w:r w:rsidR="000F3F2F">
        <w:rPr>
          <w:rFonts w:ascii="Times New Roman" w:hAnsi="Times New Roman" w:cs="Times New Roman"/>
          <w:sz w:val="26"/>
          <w:szCs w:val="26"/>
        </w:rPr>
        <w:t xml:space="preserve"> niż wynosi średni stan bezrobotnych w danym okresie sprawozdawczym. Zawody maksymalnie deficytowe wyróżniają się brakiem bezrobotnych tj. wskaźnik dostępności oferty pracy wynosi zero. B</w:t>
      </w:r>
      <w:r w:rsidRPr="00F176D2">
        <w:rPr>
          <w:rFonts w:ascii="Times New Roman" w:hAnsi="Times New Roman" w:cs="Times New Roman"/>
          <w:sz w:val="26"/>
          <w:szCs w:val="26"/>
        </w:rPr>
        <w:t xml:space="preserve">ardzo wysoki wskaźnik intensywności oznacza złą sytuację dla pracodawców, ponieważ wskazuje on na trudności w znalezieniu pracowników posiadających jeden z zawodów deficytowych. </w:t>
      </w:r>
    </w:p>
    <w:p w:rsidR="00287C03" w:rsidRDefault="00287C03" w:rsidP="00287C0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powiecie grójeckim w najgorszej sytuacji byli pracodawcy poszukujący pracowników w zawodach: farmaceuci bez specjalizacji lub w trakcie specjalizacji, pośrednicy handlowi, lektorzy języków obcych, operatorzy maszyn do szycia, kierownicy sprzedaży w marketach, operatorzy maszyn i urządzeń do produkcji wyrobów cementowych, kamiennych i pokrewni. </w:t>
      </w:r>
    </w:p>
    <w:p w:rsidR="00287C03" w:rsidRDefault="00287C03" w:rsidP="00287C0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Poza tym utrudnione było zaspokojenie potrzeb pracodawców zgłaszających wolne miejsca pracy w zawodach: </w:t>
      </w:r>
      <w:proofErr w:type="spellStart"/>
      <w:r>
        <w:rPr>
          <w:rFonts w:ascii="Times New Roman" w:hAnsi="Times New Roman" w:cs="Times New Roman"/>
          <w:sz w:val="26"/>
          <w:szCs w:val="26"/>
        </w:rPr>
        <w:t>windykatorzy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pokrewni, kierownicy ds. zarządzania zasobami ludzkimi, kierownicy w gastronomii, robotnicy budowy dróg, inżynierowie elektronicy, robotnicy wykonujący proste prace polowe, inżynierowie ds. przemysłu i</w:t>
      </w:r>
      <w:r w:rsidR="00625EE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produkcji, kierownicy ds. produkcji przemysłowej i pracownicy świadczący usługi na ulicach. </w:t>
      </w:r>
    </w:p>
    <w:p w:rsidR="00AF26F8" w:rsidRDefault="00AF26F8" w:rsidP="005E39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W w:w="9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502"/>
        <w:gridCol w:w="1647"/>
        <w:gridCol w:w="1647"/>
        <w:gridCol w:w="1122"/>
        <w:gridCol w:w="1479"/>
        <w:gridCol w:w="835"/>
      </w:tblGrid>
      <w:tr w:rsidR="006D31D9" w:rsidRPr="006D31D9" w:rsidTr="00F176D2">
        <w:trPr>
          <w:trHeight w:val="150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D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3. Grupy zawodów zrównoważonych w 2015 roku</w:t>
            </w:r>
          </w:p>
        </w:tc>
      </w:tr>
      <w:tr w:rsidR="006D31D9" w:rsidRPr="006D31D9" w:rsidTr="00F176D2">
        <w:trPr>
          <w:trHeight w:val="157"/>
        </w:trPr>
        <w:tc>
          <w:tcPr>
            <w:tcW w:w="9788" w:type="dxa"/>
            <w:gridSpan w:val="7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RÓWNOWAGA</w:t>
            </w:r>
          </w:p>
        </w:tc>
      </w:tr>
      <w:tr w:rsidR="00F176D2" w:rsidRPr="006D31D9" w:rsidTr="00F176D2">
        <w:trPr>
          <w:trHeight w:val="810"/>
        </w:trPr>
        <w:tc>
          <w:tcPr>
            <w:tcW w:w="55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25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6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16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dostępnych ofert pracy</w:t>
            </w:r>
          </w:p>
        </w:tc>
        <w:tc>
          <w:tcPr>
            <w:tcW w:w="11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Wskaźnik </w:t>
            </w:r>
            <w:proofErr w:type="spellStart"/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dostepności</w:t>
            </w:r>
            <w:proofErr w:type="spellEnd"/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</w:tr>
      <w:tr w:rsidR="00F176D2" w:rsidRPr="006D31D9" w:rsidTr="00F176D2">
        <w:trPr>
          <w:trHeight w:val="150"/>
        </w:trPr>
        <w:tc>
          <w:tcPr>
            <w:tcW w:w="55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3439</w:t>
            </w:r>
          </w:p>
        </w:tc>
        <w:tc>
          <w:tcPr>
            <w:tcW w:w="25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16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6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1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176D2" w:rsidRPr="006D31D9" w:rsidTr="00F176D2">
        <w:trPr>
          <w:trHeight w:val="150"/>
        </w:trPr>
        <w:tc>
          <w:tcPr>
            <w:tcW w:w="55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5249</w:t>
            </w:r>
          </w:p>
        </w:tc>
        <w:tc>
          <w:tcPr>
            <w:tcW w:w="250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  <w:tc>
          <w:tcPr>
            <w:tcW w:w="164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7,17</w:t>
            </w:r>
          </w:p>
        </w:tc>
        <w:tc>
          <w:tcPr>
            <w:tcW w:w="164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7,08</w:t>
            </w:r>
          </w:p>
        </w:tc>
        <w:tc>
          <w:tcPr>
            <w:tcW w:w="112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D31D9" w:rsidRDefault="006D31D9" w:rsidP="005E39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176D2" w:rsidRDefault="00F176D2" w:rsidP="00F27AA7">
      <w:pPr>
        <w:pStyle w:val="Tekstpodstawowy"/>
        <w:ind w:firstLine="708"/>
        <w:rPr>
          <w:rFonts w:ascii="Times New Roman" w:eastAsia="Arial Unicode MS" w:hAnsi="Times New Roman"/>
          <w:color w:val="000000"/>
          <w:sz w:val="26"/>
          <w:szCs w:val="26"/>
        </w:rPr>
      </w:pPr>
      <w:r w:rsidRPr="00F176D2">
        <w:rPr>
          <w:rFonts w:ascii="Times New Roman" w:eastAsia="Arial Unicode MS" w:hAnsi="Times New Roman"/>
          <w:color w:val="000000"/>
          <w:sz w:val="26"/>
          <w:szCs w:val="26"/>
        </w:rPr>
        <w:t>Zawody wskazujące na równowagę (zrównoważone), to takie,</w:t>
      </w:r>
      <w:r w:rsidR="00E600D8">
        <w:rPr>
          <w:rFonts w:ascii="Times New Roman" w:eastAsia="Arial Unicode MS" w:hAnsi="Times New Roman"/>
          <w:color w:val="000000"/>
          <w:sz w:val="26"/>
          <w:szCs w:val="26"/>
        </w:rPr>
        <w:t xml:space="preserve"> które</w:t>
      </w:r>
      <w:r w:rsidRPr="00F176D2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r w:rsidR="00287C03">
        <w:rPr>
          <w:rFonts w:ascii="Times New Roman" w:eastAsia="Arial Unicode MS" w:hAnsi="Times New Roman"/>
          <w:color w:val="000000"/>
          <w:sz w:val="26"/>
          <w:szCs w:val="26"/>
        </w:rPr>
        <w:t xml:space="preserve">oznaczają zbliżoną liczbę bezrobotnych i dostępnych ofert pracy w danym okresie sprawozdawczym. 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Jest to najbardziej komfortowa grupa zawodów zarówno dla pracodawców, jak i osób bezrobotnych ponieważ najefektywniej można dopasować do siebie stronę podaży i popytu na rynku pracy w powiecie grójeckim. </w:t>
      </w:r>
    </w:p>
    <w:p w:rsidR="006D31D9" w:rsidRDefault="006D31D9" w:rsidP="00F27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6D31D9" w:rsidRDefault="006D31D9" w:rsidP="00F27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209"/>
        <w:gridCol w:w="163"/>
        <w:gridCol w:w="1479"/>
        <w:gridCol w:w="1479"/>
        <w:gridCol w:w="1010"/>
        <w:gridCol w:w="1192"/>
        <w:gridCol w:w="599"/>
        <w:gridCol w:w="533"/>
        <w:gridCol w:w="1329"/>
        <w:gridCol w:w="759"/>
        <w:gridCol w:w="12"/>
        <w:gridCol w:w="146"/>
        <w:gridCol w:w="146"/>
      </w:tblGrid>
      <w:tr w:rsidR="00AF26F8" w:rsidRPr="00AF26F8" w:rsidTr="00F27AA7">
        <w:trPr>
          <w:trHeight w:val="300"/>
        </w:trPr>
        <w:tc>
          <w:tcPr>
            <w:tcW w:w="10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6F8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4. Ranking elementarnych grup zawodów nadwyżkowych w 2015 roku</w:t>
            </w:r>
          </w:p>
        </w:tc>
      </w:tr>
      <w:tr w:rsidR="00AF26F8" w:rsidRPr="00AF26F8" w:rsidTr="00F27AA7">
        <w:trPr>
          <w:trHeight w:val="315"/>
        </w:trPr>
        <w:tc>
          <w:tcPr>
            <w:tcW w:w="10268" w:type="dxa"/>
            <w:gridSpan w:val="1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MAKSYMALNA NADWYŻKA*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6F8" w:rsidRPr="00AF26F8" w:rsidTr="00F27AA7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5922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2633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6F8" w:rsidRPr="00AF26F8" w:rsidTr="00F27AA7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7115</w:t>
            </w:r>
          </w:p>
        </w:tc>
        <w:tc>
          <w:tcPr>
            <w:tcW w:w="5922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2633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6F8" w:rsidRPr="00AF26F8" w:rsidTr="00F27AA7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4312</w:t>
            </w:r>
          </w:p>
        </w:tc>
        <w:tc>
          <w:tcPr>
            <w:tcW w:w="5922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  <w:tc>
          <w:tcPr>
            <w:tcW w:w="2633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6F8" w:rsidRPr="00AF26F8" w:rsidTr="00F27AA7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7532</w:t>
            </w:r>
          </w:p>
        </w:tc>
        <w:tc>
          <w:tcPr>
            <w:tcW w:w="5922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Konstruktorzy i </w:t>
            </w:r>
            <w:proofErr w:type="spellStart"/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krojczowie</w:t>
            </w:r>
            <w:proofErr w:type="spellEnd"/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odzieży</w:t>
            </w:r>
          </w:p>
        </w:tc>
        <w:tc>
          <w:tcPr>
            <w:tcW w:w="2633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6F8" w:rsidRPr="00AF26F8" w:rsidTr="00F27AA7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5922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2633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6F8" w:rsidRPr="00AF26F8" w:rsidTr="00F27AA7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7314</w:t>
            </w:r>
          </w:p>
        </w:tc>
        <w:tc>
          <w:tcPr>
            <w:tcW w:w="5922" w:type="dxa"/>
            <w:gridSpan w:val="6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2633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26F8" w:rsidRPr="00AF26F8" w:rsidTr="00F27AA7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5922" w:type="dxa"/>
            <w:gridSpan w:val="6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2633" w:type="dxa"/>
            <w:gridSpan w:val="4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F26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F8" w:rsidRPr="00AF26F8" w:rsidRDefault="00AF26F8" w:rsidP="00AF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31D9" w:rsidRPr="006D31D9" w:rsidTr="00F27AA7">
        <w:trPr>
          <w:gridAfter w:val="3"/>
          <w:wAfter w:w="304" w:type="dxa"/>
          <w:trHeight w:val="300"/>
        </w:trPr>
        <w:tc>
          <w:tcPr>
            <w:tcW w:w="10256" w:type="dxa"/>
            <w:gridSpan w:val="11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NADWYŻKA</w:t>
            </w:r>
          </w:p>
        </w:tc>
      </w:tr>
      <w:tr w:rsidR="006A4235" w:rsidRPr="006D31D9" w:rsidTr="00F27AA7">
        <w:trPr>
          <w:gridAfter w:val="3"/>
          <w:wAfter w:w="304" w:type="dxa"/>
          <w:trHeight w:val="1315"/>
        </w:trPr>
        <w:tc>
          <w:tcPr>
            <w:tcW w:w="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3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dostępnych ofert pracy</w:t>
            </w:r>
          </w:p>
        </w:tc>
        <w:tc>
          <w:tcPr>
            <w:tcW w:w="10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dostępności ofert pracy</w:t>
            </w:r>
          </w:p>
        </w:tc>
        <w:tc>
          <w:tcPr>
            <w:tcW w:w="11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13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75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</w:tr>
      <w:tr w:rsidR="006A4235" w:rsidRPr="006D31D9" w:rsidTr="00F27AA7">
        <w:trPr>
          <w:gridAfter w:val="3"/>
          <w:wAfter w:w="304" w:type="dxa"/>
          <w:trHeight w:val="228"/>
        </w:trPr>
        <w:tc>
          <w:tcPr>
            <w:tcW w:w="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7222</w:t>
            </w:r>
          </w:p>
        </w:tc>
        <w:tc>
          <w:tcPr>
            <w:tcW w:w="13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39,33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10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47,20</w:t>
            </w:r>
          </w:p>
        </w:tc>
        <w:tc>
          <w:tcPr>
            <w:tcW w:w="11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47,37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13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235" w:rsidRPr="006D31D9" w:rsidTr="00F27AA7">
        <w:trPr>
          <w:gridAfter w:val="3"/>
          <w:wAfter w:w="304" w:type="dxa"/>
          <w:trHeight w:val="443"/>
        </w:trPr>
        <w:tc>
          <w:tcPr>
            <w:tcW w:w="50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13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2,25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0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119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3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235" w:rsidRPr="006D31D9" w:rsidTr="00F27AA7">
        <w:trPr>
          <w:gridAfter w:val="3"/>
          <w:wAfter w:w="304" w:type="dxa"/>
          <w:trHeight w:val="672"/>
        </w:trPr>
        <w:tc>
          <w:tcPr>
            <w:tcW w:w="50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9629</w:t>
            </w:r>
          </w:p>
        </w:tc>
        <w:tc>
          <w:tcPr>
            <w:tcW w:w="137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 gdzie indziej niesklasyfikowani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47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3,17</w:t>
            </w:r>
          </w:p>
        </w:tc>
        <w:tc>
          <w:tcPr>
            <w:tcW w:w="10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4,74</w:t>
            </w:r>
          </w:p>
        </w:tc>
        <w:tc>
          <w:tcPr>
            <w:tcW w:w="119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46,15</w:t>
            </w:r>
          </w:p>
        </w:tc>
        <w:tc>
          <w:tcPr>
            <w:tcW w:w="113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132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5E393D" w:rsidRPr="004A56C1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A56C1">
        <w:rPr>
          <w:rFonts w:ascii="Times New Roman" w:hAnsi="Times New Roman" w:cs="Times New Roman"/>
          <w:color w:val="000000"/>
          <w:sz w:val="16"/>
          <w:szCs w:val="16"/>
        </w:rPr>
        <w:t>* W przypadku maksymalnej nadwyżki liczba ofert pracy równa jest zero. W rezultacie wskaźnik dostępności ofert pracy nie</w:t>
      </w:r>
      <w:r w:rsidR="00F27AA7" w:rsidRPr="004A56C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A56C1">
        <w:rPr>
          <w:rFonts w:ascii="Times New Roman" w:hAnsi="Times New Roman" w:cs="Times New Roman"/>
          <w:color w:val="000000"/>
          <w:sz w:val="16"/>
          <w:szCs w:val="16"/>
        </w:rPr>
        <w:t>przyjmuje wartości. Z tego względu zaleca się prezentację tej grupy według malejącej przeciętnej miesięcznej liczby bezrobotnych</w:t>
      </w:r>
    </w:p>
    <w:p w:rsidR="00F27AA7" w:rsidRPr="004A56C1" w:rsidRDefault="00F27AA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27AA7" w:rsidRPr="004A56C1" w:rsidRDefault="00F27AA7" w:rsidP="00625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6C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Zawody nadwyżkowe odznaczają się przewagą liczebną bezrobotnych nad dostępnymi ofertami pracy, bezrobociem długotrwałym, oraz niskim odpływem netto (wyższy napływ niż odpływ) bezrobotnych w danym okresie sprawozdawczym. Zawody maksymalnie nadwyżkowe to takie, dla których nie ma żadnych ofert pracy. </w:t>
      </w:r>
    </w:p>
    <w:p w:rsidR="00F27AA7" w:rsidRPr="004A56C1" w:rsidRDefault="00F27AA7" w:rsidP="00625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6C1">
        <w:rPr>
          <w:rFonts w:ascii="Times New Roman" w:hAnsi="Times New Roman" w:cs="Times New Roman"/>
          <w:color w:val="000000"/>
          <w:sz w:val="26"/>
          <w:szCs w:val="26"/>
        </w:rPr>
        <w:tab/>
        <w:t>W powiecie grójeckim w najtrudniejszej sytuacji są osoby posiadające zawody: cieśle i stolarze budowlani, pracownicy ds. statystyk, finansów i</w:t>
      </w:r>
      <w:r w:rsidR="008C7AA2" w:rsidRPr="004A56C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A56C1">
        <w:rPr>
          <w:rFonts w:ascii="Times New Roman" w:hAnsi="Times New Roman" w:cs="Times New Roman"/>
          <w:color w:val="000000"/>
          <w:sz w:val="26"/>
          <w:szCs w:val="26"/>
        </w:rPr>
        <w:t xml:space="preserve">ubezpieczeń, konstruktorzy i </w:t>
      </w:r>
      <w:proofErr w:type="spellStart"/>
      <w:r w:rsidRPr="004A56C1">
        <w:rPr>
          <w:rFonts w:ascii="Times New Roman" w:hAnsi="Times New Roman" w:cs="Times New Roman"/>
          <w:color w:val="000000"/>
          <w:sz w:val="26"/>
          <w:szCs w:val="26"/>
        </w:rPr>
        <w:t>krojczowie</w:t>
      </w:r>
      <w:proofErr w:type="spellEnd"/>
      <w:r w:rsidRPr="004A56C1">
        <w:rPr>
          <w:rFonts w:ascii="Times New Roman" w:hAnsi="Times New Roman" w:cs="Times New Roman"/>
          <w:color w:val="000000"/>
          <w:sz w:val="26"/>
          <w:szCs w:val="26"/>
        </w:rPr>
        <w:t xml:space="preserve"> odzieży, specjaliści ds. nieruchomości, ceramicy i pokrewni, asystenci dentystyczni. </w:t>
      </w:r>
    </w:p>
    <w:p w:rsidR="00F27AA7" w:rsidRPr="004A56C1" w:rsidRDefault="00F27AA7" w:rsidP="00625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56C1">
        <w:rPr>
          <w:rFonts w:ascii="Times New Roman" w:hAnsi="Times New Roman" w:cs="Times New Roman"/>
          <w:color w:val="000000"/>
          <w:sz w:val="26"/>
          <w:szCs w:val="26"/>
        </w:rPr>
        <w:tab/>
        <w:t>Poza tym utrudnione było znalezienie pracy przez osoby bezrobotne w</w:t>
      </w:r>
      <w:r w:rsidR="008C7AA2" w:rsidRPr="004A56C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A56C1">
        <w:rPr>
          <w:rFonts w:ascii="Times New Roman" w:hAnsi="Times New Roman" w:cs="Times New Roman"/>
          <w:color w:val="000000"/>
          <w:sz w:val="26"/>
          <w:szCs w:val="26"/>
        </w:rPr>
        <w:t xml:space="preserve">zawodach: ślusarze i pokrewni, kierownic ds. budownictwa, pracownicy wykonujący prace proste gdzie indziej niesklasyfikowani. </w:t>
      </w:r>
    </w:p>
    <w:p w:rsidR="006D31D9" w:rsidRDefault="006D31D9" w:rsidP="005E39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8C7AA2" w:rsidRDefault="008C7AA2" w:rsidP="005E39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4A56C1" w:rsidRDefault="004A56C1" w:rsidP="005E39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4A56C1" w:rsidRDefault="004A56C1" w:rsidP="005E39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5E393D" w:rsidRPr="00FA6D3A" w:rsidRDefault="005E393D" w:rsidP="00993BDB">
      <w:pPr>
        <w:pStyle w:val="Nagwek1"/>
        <w:numPr>
          <w:ilvl w:val="0"/>
          <w:numId w:val="1"/>
        </w:numPr>
        <w:rPr>
          <w:b/>
        </w:rPr>
      </w:pPr>
      <w:bookmarkStart w:id="6" w:name="_Toc449705512"/>
      <w:r w:rsidRPr="00FA6D3A">
        <w:rPr>
          <w:b/>
        </w:rPr>
        <w:lastRenderedPageBreak/>
        <w:t>Analiza umiejętności i uprawnień</w:t>
      </w:r>
      <w:bookmarkEnd w:id="6"/>
    </w:p>
    <w:p w:rsidR="006D31D9" w:rsidRDefault="006D31D9" w:rsidP="005E39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18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55"/>
        <w:gridCol w:w="1331"/>
        <w:gridCol w:w="1366"/>
        <w:gridCol w:w="1790"/>
        <w:gridCol w:w="10131"/>
      </w:tblGrid>
      <w:tr w:rsidR="006D31D9" w:rsidRPr="006D31D9" w:rsidTr="00993BDB">
        <w:trPr>
          <w:trHeight w:val="300"/>
        </w:trPr>
        <w:tc>
          <w:tcPr>
            <w:tcW w:w="18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Tabela 5. Umiejętności i uprawnienia według wielkich grup zawodów w 2015 roku</w:t>
            </w:r>
          </w:p>
        </w:tc>
      </w:tr>
      <w:tr w:rsidR="006D31D9" w:rsidRPr="006D31D9" w:rsidTr="00993BDB">
        <w:trPr>
          <w:trHeight w:val="300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Wielka grupa zawodów</w:t>
            </w:r>
          </w:p>
        </w:tc>
        <w:tc>
          <w:tcPr>
            <w:tcW w:w="238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STRONA PODAŻOWA RYNKU PRACY</w:t>
            </w:r>
          </w:p>
        </w:tc>
        <w:tc>
          <w:tcPr>
            <w:tcW w:w="315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STRONA POPYTOWA RYNKU PRACY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D31D9" w:rsidRPr="006D31D9" w:rsidTr="00993BDB">
        <w:trPr>
          <w:trHeight w:val="900"/>
        </w:trPr>
        <w:tc>
          <w:tcPr>
            <w:tcW w:w="240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Uprawnienia posiadane przez bezrobotnych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bezrobotnych (%)*</w:t>
            </w:r>
          </w:p>
        </w:tc>
        <w:tc>
          <w:tcPr>
            <w:tcW w:w="13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Umiejętności i uprawnienia wymagane w ofertach pracy</w:t>
            </w:r>
          </w:p>
        </w:tc>
        <w:tc>
          <w:tcPr>
            <w:tcW w:w="179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pracy (%)**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D31D9" w:rsidRPr="006D31D9" w:rsidTr="00993BDB">
        <w:trPr>
          <w:trHeight w:val="450"/>
        </w:trPr>
        <w:tc>
          <w:tcPr>
            <w:tcW w:w="24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93BDB"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993BDB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3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Współpraca w zespole</w:t>
            </w:r>
          </w:p>
        </w:tc>
        <w:tc>
          <w:tcPr>
            <w:tcW w:w="179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0,2725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D31D9" w:rsidRPr="006D31D9" w:rsidTr="00993BDB">
        <w:trPr>
          <w:trHeight w:val="450"/>
        </w:trPr>
        <w:tc>
          <w:tcPr>
            <w:tcW w:w="24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93BDB"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993BDB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  <w:r w:rsidR="006D31D9"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Współpraca w zespole</w:t>
            </w:r>
          </w:p>
        </w:tc>
        <w:tc>
          <w:tcPr>
            <w:tcW w:w="179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0,1138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D31D9" w:rsidRPr="006D31D9" w:rsidTr="00993BDB">
        <w:trPr>
          <w:trHeight w:val="675"/>
        </w:trPr>
        <w:tc>
          <w:tcPr>
            <w:tcW w:w="240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93BDB"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993BDB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  <w:r w:rsidR="006D31D9"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Obsługa, montaż i naprawa urządzeń technicznych</w:t>
            </w:r>
          </w:p>
        </w:tc>
        <w:tc>
          <w:tcPr>
            <w:tcW w:w="179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0,2195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D31D9" w:rsidRPr="006D31D9" w:rsidTr="00993BDB">
        <w:trPr>
          <w:trHeight w:val="675"/>
        </w:trPr>
        <w:tc>
          <w:tcPr>
            <w:tcW w:w="240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93BDB"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3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993BDB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danych</w:t>
            </w:r>
          </w:p>
        </w:tc>
        <w:tc>
          <w:tcPr>
            <w:tcW w:w="136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Sprawność psychofizyczna i psychomotoryczna</w:t>
            </w:r>
          </w:p>
        </w:tc>
        <w:tc>
          <w:tcPr>
            <w:tcW w:w="179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0,2076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E393D" w:rsidRPr="0049179C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9179C">
        <w:rPr>
          <w:rFonts w:ascii="Times New Roman" w:hAnsi="Times New Roman" w:cs="Times New Roman"/>
          <w:color w:val="000000"/>
          <w:sz w:val="16"/>
          <w:szCs w:val="16"/>
        </w:rPr>
        <w:t>*Odsetek bezrobotnych wyliczany jest według stanu na koniec okresu sprawozdawczego.</w:t>
      </w:r>
    </w:p>
    <w:p w:rsidR="00937723" w:rsidRPr="0049179C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9179C">
        <w:rPr>
          <w:rFonts w:ascii="Times New Roman" w:hAnsi="Times New Roman" w:cs="Times New Roman"/>
          <w:color w:val="000000"/>
          <w:sz w:val="16"/>
          <w:szCs w:val="16"/>
        </w:rPr>
        <w:t>**Odsetek ofert pracy liczony jest jako iloraz napływu ofert pracy, w których dana kwalifikacja jest wymagana do całkowitego</w:t>
      </w:r>
      <w:r w:rsidR="00993BDB" w:rsidRPr="0049179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9179C">
        <w:rPr>
          <w:rFonts w:ascii="Times New Roman" w:hAnsi="Times New Roman" w:cs="Times New Roman"/>
          <w:color w:val="000000"/>
          <w:sz w:val="16"/>
          <w:szCs w:val="16"/>
        </w:rPr>
        <w:t>napływu ofert pracy w ramach danej wielkiej grupy zawodów (</w:t>
      </w:r>
      <w:proofErr w:type="spellStart"/>
      <w:r w:rsidRPr="0049179C">
        <w:rPr>
          <w:rFonts w:ascii="Times New Roman" w:hAnsi="Times New Roman" w:cs="Times New Roman"/>
          <w:color w:val="000000"/>
          <w:sz w:val="16"/>
          <w:szCs w:val="16"/>
        </w:rPr>
        <w:t>PUP+BIP+internet</w:t>
      </w:r>
      <w:proofErr w:type="spellEnd"/>
      <w:r w:rsidRPr="0049179C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:rsidR="006D31D9" w:rsidRDefault="006D31D9" w:rsidP="005E39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937723" w:rsidRDefault="00937723" w:rsidP="005E39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937723" w:rsidRDefault="00937723" w:rsidP="0093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93B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 uwagi na brak danych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dotyczących katalogu uprawnień </w:t>
      </w:r>
      <w:r w:rsidR="008C7A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nie można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8C7A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dokonać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analizy z zakresu umiejętności i uprawnień, które są najczęściej posiadane przez bezrobotnych w 2015 roku. </w:t>
      </w:r>
    </w:p>
    <w:p w:rsidR="00937723" w:rsidRPr="00993BDB" w:rsidRDefault="00241E86" w:rsidP="009377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 kolei umiejętności i uprawnienia, które są najczęściej wymagane przez pracodawców w ofertach pracy to głównie: współpraca w zespole, obsługa, montaż i</w:t>
      </w:r>
      <w:r w:rsidR="008C7A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naprawa urządzeń technicznych, sprawność psychofizyczna i psychomotoryczna.</w:t>
      </w:r>
    </w:p>
    <w:p w:rsidR="00937723" w:rsidRDefault="00937723" w:rsidP="005E39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937723" w:rsidRPr="0049179C" w:rsidRDefault="00937723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9179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Tabela 6: Bezrobotni bez zawodu w 2015 roku. 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70"/>
        <w:gridCol w:w="866"/>
        <w:gridCol w:w="5282"/>
      </w:tblGrid>
      <w:tr w:rsidR="006D31D9" w:rsidRPr="006D31D9" w:rsidTr="0049179C">
        <w:trPr>
          <w:trHeight w:val="466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Default="006D31D9" w:rsidP="009377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9179C" w:rsidRPr="006D31D9" w:rsidRDefault="0049179C" w:rsidP="009377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bez zawodu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bezrobotnych bez zawodu (%)*</w:t>
            </w:r>
          </w:p>
        </w:tc>
      </w:tr>
      <w:tr w:rsidR="006D31D9" w:rsidRPr="006D31D9" w:rsidTr="008C7AA2">
        <w:trPr>
          <w:trHeight w:val="70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1 983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19,67%</w:t>
            </w:r>
          </w:p>
        </w:tc>
      </w:tr>
      <w:tr w:rsidR="006D31D9" w:rsidRPr="006D31D9" w:rsidTr="008C7AA2">
        <w:trPr>
          <w:trHeight w:val="116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wg poziomu wykształcenia:</w:t>
            </w:r>
          </w:p>
        </w:tc>
        <w:tc>
          <w:tcPr>
            <w:tcW w:w="87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82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D31D9" w:rsidRPr="006D31D9" w:rsidTr="008C7AA2">
        <w:trPr>
          <w:trHeight w:val="107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gimnazjalne i poniżej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36,00%</w:t>
            </w:r>
          </w:p>
        </w:tc>
      </w:tr>
      <w:tr w:rsidR="006D31D9" w:rsidRPr="006D31D9" w:rsidTr="008C7AA2">
        <w:trPr>
          <w:trHeight w:val="166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zasadnicze zawodowe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2,55%</w:t>
            </w:r>
          </w:p>
        </w:tc>
      </w:tr>
      <w:tr w:rsidR="006D31D9" w:rsidRPr="006D31D9" w:rsidTr="008C7AA2">
        <w:trPr>
          <w:trHeight w:val="84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średnie ogólnokształcące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38,71%</w:t>
            </w:r>
          </w:p>
        </w:tc>
      </w:tr>
      <w:tr w:rsidR="006D31D9" w:rsidRPr="006D31D9" w:rsidTr="008C7AA2">
        <w:trPr>
          <w:trHeight w:val="130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policealne i średnie zawodowe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12,16%</w:t>
            </w:r>
          </w:p>
        </w:tc>
      </w:tr>
      <w:tr w:rsidR="006D31D9" w:rsidRPr="006D31D9" w:rsidTr="008C7AA2">
        <w:trPr>
          <w:trHeight w:val="190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wyższe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3,55%</w:t>
            </w:r>
          </w:p>
        </w:tc>
      </w:tr>
      <w:tr w:rsidR="006D31D9" w:rsidRPr="006D31D9" w:rsidTr="008C7AA2">
        <w:trPr>
          <w:trHeight w:val="109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wg typu ukończonej szkoły:</w:t>
            </w:r>
          </w:p>
        </w:tc>
        <w:tc>
          <w:tcPr>
            <w:tcW w:w="87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82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D31D9" w:rsidRPr="006D31D9" w:rsidTr="008C7AA2">
        <w:trPr>
          <w:trHeight w:val="112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10,42%</w:t>
            </w:r>
          </w:p>
        </w:tc>
      </w:tr>
      <w:tr w:rsidR="006D31D9" w:rsidRPr="006D31D9" w:rsidTr="008C7AA2">
        <w:trPr>
          <w:trHeight w:val="158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34,62%</w:t>
            </w:r>
          </w:p>
        </w:tc>
      </w:tr>
      <w:tr w:rsidR="006D31D9" w:rsidRPr="006D31D9" w:rsidTr="008C7AA2">
        <w:trPr>
          <w:trHeight w:val="76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67,74%</w:t>
            </w:r>
          </w:p>
        </w:tc>
      </w:tr>
      <w:tr w:rsidR="006D31D9" w:rsidRPr="006D31D9" w:rsidTr="008C7AA2">
        <w:trPr>
          <w:trHeight w:val="122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profilowane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D31D9" w:rsidRPr="006D31D9" w:rsidTr="008C7AA2">
        <w:trPr>
          <w:trHeight w:val="183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uzupełniające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D31D9" w:rsidRPr="006D31D9" w:rsidTr="008C7AA2">
        <w:trPr>
          <w:trHeight w:val="100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37,50%</w:t>
            </w:r>
          </w:p>
        </w:tc>
      </w:tr>
      <w:tr w:rsidR="006D31D9" w:rsidRPr="006D31D9" w:rsidTr="00937723">
        <w:trPr>
          <w:trHeight w:val="300"/>
        </w:trPr>
        <w:tc>
          <w:tcPr>
            <w:tcW w:w="24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wyższa</w:t>
            </w:r>
          </w:p>
        </w:tc>
        <w:tc>
          <w:tcPr>
            <w:tcW w:w="87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6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8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6D31D9" w:rsidRPr="006D31D9" w:rsidRDefault="006D31D9" w:rsidP="006D31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D3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2,63%</w:t>
            </w:r>
          </w:p>
        </w:tc>
      </w:tr>
      <w:tr w:rsidR="006D31D9" w:rsidRPr="006D31D9" w:rsidTr="00937723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1D9" w:rsidRPr="008C7AA2" w:rsidRDefault="006D31D9" w:rsidP="006D31D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AA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*Odsetek bezrobotnych wyliczany jest jako stosunek bezrobotnych bez zawodu wg stanu w końcu okresu sprawozdawczego do ogółu bezrobotnych w ramach danej analizowanej kategorii.</w:t>
            </w:r>
          </w:p>
        </w:tc>
      </w:tr>
    </w:tbl>
    <w:p w:rsidR="00156056" w:rsidRPr="008C7AA2" w:rsidRDefault="00241E86" w:rsidP="008C7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lastRenderedPageBreak/>
        <w:tab/>
      </w:r>
      <w:r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Szacuje się że w roku 2015 w bazie Powiatowego Urzędu Pracy w Grójcu zarejestrowanych było </w:t>
      </w:r>
      <w:r w:rsidR="00851E95"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>39</w:t>
      </w:r>
      <w:r w:rsidR="007D3176"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>0 bezrobotnych nie posiadających zawodu</w:t>
      </w:r>
      <w:r w:rsidR="00851E95"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7D3176"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Największą grupę stanowiły osoby, które ukończyły liceum ogólnokształcące, szkołę policealną, jak również technikum zawodowe, które nie otrzymały tytułu zawodowego potwierdzonego egzaminem. </w:t>
      </w:r>
    </w:p>
    <w:p w:rsidR="00156056" w:rsidRDefault="00156056" w:rsidP="005E39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7D3176" w:rsidRPr="007D3176" w:rsidRDefault="007D3176" w:rsidP="007D31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Analiza rynku edukacyjnego </w:t>
      </w:r>
    </w:p>
    <w:p w:rsidR="00156056" w:rsidRDefault="00156056" w:rsidP="005E39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7D3176" w:rsidRPr="008C7AA2" w:rsidRDefault="007D3176" w:rsidP="00033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Analiza rynku edukacyjnego jest uzupełnieniem metody rankingowej i tworzona jest w oparciu o liczbę uczniów ostatniego roku i absolwentów szkół. </w:t>
      </w:r>
      <w:r w:rsidR="0003325E"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Opisywana analiza ma posłużyć do określenia kierunków szkoleń dla osób bezrobotnych, jak również korekty poziomu i struktury treści kształcenia zawodowego na poziomie ponadgimnazjalnym. </w:t>
      </w:r>
    </w:p>
    <w:p w:rsidR="0003325E" w:rsidRPr="008C7AA2" w:rsidRDefault="0003325E" w:rsidP="00033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Źródłem danych do analizy stanowią dane pochodzące z Systemu </w:t>
      </w:r>
      <w:r w:rsidR="0022247E" w:rsidRPr="008C7A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Informacji Oświatowej MEN (liczba uczniów ostatnich klas szkół ponadgimnazjalnych zawodów i specjalności. </w:t>
      </w:r>
    </w:p>
    <w:p w:rsidR="00D708CC" w:rsidRPr="00D708CC" w:rsidRDefault="00D708CC" w:rsidP="00D708CC">
      <w:pPr>
        <w:pStyle w:val="Nagwek2"/>
        <w:numPr>
          <w:ilvl w:val="1"/>
          <w:numId w:val="1"/>
        </w:numPr>
        <w:rPr>
          <w:b/>
        </w:rPr>
      </w:pPr>
      <w:bookmarkStart w:id="7" w:name="_Toc449705513"/>
      <w:r w:rsidRPr="00D708CC">
        <w:rPr>
          <w:b/>
        </w:rPr>
        <w:t>Analiza uczniów ostatnich klas szkół ponadgimnazjalnych.</w:t>
      </w:r>
      <w:bookmarkEnd w:id="7"/>
      <w:r w:rsidRPr="00D708CC">
        <w:rPr>
          <w:b/>
        </w:rPr>
        <w:t xml:space="preserve">  </w:t>
      </w:r>
    </w:p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W w:w="9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743"/>
        <w:gridCol w:w="1984"/>
        <w:gridCol w:w="305"/>
        <w:gridCol w:w="386"/>
        <w:gridCol w:w="4460"/>
        <w:gridCol w:w="1510"/>
      </w:tblGrid>
      <w:tr w:rsidR="00D708CC" w:rsidRPr="00D708CC" w:rsidTr="00E524F3">
        <w:trPr>
          <w:trHeight w:val="386"/>
        </w:trPr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Tabela 7. Uczniowie ostatnich klas szkół ponadgimnazjalnych według elementarnych grup zawodów deficytowych, zrównoważonych oraz nadwyżkowych w 2015 roku</w:t>
            </w:r>
          </w:p>
        </w:tc>
      </w:tr>
      <w:tr w:rsidR="00D708CC" w:rsidRPr="00D708CC" w:rsidTr="00E524F3">
        <w:trPr>
          <w:trHeight w:val="29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Zawody deficytowe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08CC" w:rsidRPr="00D708CC" w:rsidTr="00E524F3">
        <w:trPr>
          <w:trHeight w:val="509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uczniów ostatnich klas szkół ponadgimnazjalnych</w:t>
            </w:r>
          </w:p>
        </w:tc>
      </w:tr>
      <w:tr w:rsidR="00D708CC" w:rsidRPr="00D708CC" w:rsidTr="00E524F3">
        <w:trPr>
          <w:trHeight w:val="64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08CC" w:rsidRPr="00D708CC" w:rsidTr="00E524F3">
        <w:trPr>
          <w:trHeight w:val="6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2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produkcji przemysłowej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7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7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0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Lektorzy języków obcych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6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2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4214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Windykatorzy</w:t>
            </w:r>
            <w:proofErr w:type="spellEnd"/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pokrewni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9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7116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8114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01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9211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78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Zawody nadwyżkowe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08CC" w:rsidRPr="00D708CC" w:rsidTr="00E524F3">
        <w:trPr>
          <w:trHeight w:val="658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uczniów ostatnich klas szkół ponadgimnazjalnych</w:t>
            </w:r>
          </w:p>
        </w:tc>
      </w:tr>
      <w:tr w:rsidR="00D708CC" w:rsidRPr="00D708CC" w:rsidTr="00E524F3">
        <w:trPr>
          <w:trHeight w:val="12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08CC" w:rsidRPr="00D708CC" w:rsidTr="00E524F3">
        <w:trPr>
          <w:trHeight w:val="12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84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8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2440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13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7115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76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7314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37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7532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Konstruktorzy i </w:t>
            </w:r>
            <w:proofErr w:type="spellStart"/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krojczowie</w:t>
            </w:r>
            <w:proofErr w:type="spellEnd"/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odzieży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8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8131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chemicznych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08CC" w:rsidRPr="00D708CC" w:rsidTr="00E524F3">
        <w:trPr>
          <w:trHeight w:val="101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9629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 gdzie indziej niesklasyfikowani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Zawody zrównoważone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08CC" w:rsidRPr="00D708CC" w:rsidTr="00E524F3">
        <w:trPr>
          <w:trHeight w:val="291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uczniów ostatnich klas szkół ponadgimnazjalnych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08CC" w:rsidRPr="00D708CC" w:rsidTr="00E524F3">
        <w:trPr>
          <w:trHeight w:val="5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3439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08CC" w:rsidRPr="00D708CC" w:rsidTr="00E524F3">
        <w:trPr>
          <w:trHeight w:val="180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5249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CC" w:rsidRPr="00D708CC" w:rsidRDefault="00D708CC" w:rsidP="00D70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70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D708CC" w:rsidRDefault="00D708CC" w:rsidP="005E39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D708CC" w:rsidRDefault="00D708CC" w:rsidP="005E39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5E393D" w:rsidRPr="00E524F3" w:rsidRDefault="00E524F3" w:rsidP="00E524F3">
      <w:pPr>
        <w:pStyle w:val="Nagwek2"/>
        <w:numPr>
          <w:ilvl w:val="1"/>
          <w:numId w:val="1"/>
        </w:numPr>
        <w:rPr>
          <w:b/>
        </w:rPr>
      </w:pPr>
      <w:bookmarkStart w:id="8" w:name="_Toc449705514"/>
      <w:r w:rsidRPr="00E524F3">
        <w:rPr>
          <w:b/>
        </w:rPr>
        <w:t>Analiza absolwentów szkół ponadgimnazjalnych</w:t>
      </w:r>
      <w:bookmarkEnd w:id="8"/>
    </w:p>
    <w:tbl>
      <w:tblPr>
        <w:tblW w:w="9971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"/>
        <w:gridCol w:w="1634"/>
        <w:gridCol w:w="838"/>
        <w:gridCol w:w="1223"/>
        <w:gridCol w:w="1377"/>
        <w:gridCol w:w="1768"/>
        <w:gridCol w:w="1377"/>
        <w:gridCol w:w="563"/>
        <w:gridCol w:w="1070"/>
        <w:gridCol w:w="70"/>
      </w:tblGrid>
      <w:tr w:rsidR="00E524F3" w:rsidRPr="00E524F3" w:rsidTr="00F646F5">
        <w:trPr>
          <w:gridAfter w:val="1"/>
          <w:wAfter w:w="70" w:type="dxa"/>
          <w:trHeight w:val="480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4F3" w:rsidRPr="001E6DAF" w:rsidRDefault="00E524F3" w:rsidP="00F646F5">
            <w:pPr>
              <w:spacing w:before="24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6DAF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Tabela 8. Liczba absolwentów oraz bezrobotnych absolwentów według typu szkoły w 2015 roku</w:t>
            </w:r>
          </w:p>
        </w:tc>
      </w:tr>
      <w:tr w:rsidR="00E524F3" w:rsidRPr="00E524F3" w:rsidTr="00F646F5">
        <w:trPr>
          <w:gridBefore w:val="1"/>
          <w:wBefore w:w="70" w:type="dxa"/>
          <w:trHeight w:val="414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F6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Typ szkoły</w:t>
            </w:r>
          </w:p>
        </w:tc>
        <w:tc>
          <w:tcPr>
            <w:tcW w:w="204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F6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311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F6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3120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524F3" w:rsidRPr="00E524F3" w:rsidRDefault="00E524F3" w:rsidP="00F64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</w:tr>
      <w:tr w:rsidR="00E524F3" w:rsidRPr="00E524F3" w:rsidTr="00F646F5">
        <w:trPr>
          <w:gridBefore w:val="1"/>
          <w:wBefore w:w="70" w:type="dxa"/>
          <w:trHeight w:val="521"/>
        </w:trPr>
        <w:tc>
          <w:tcPr>
            <w:tcW w:w="162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grudnia roku poprzedniego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maja roku sprawozdawczego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grudnia roku poprzedniego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maja roku sprawozdawczego</w:t>
            </w:r>
          </w:p>
        </w:tc>
      </w:tr>
      <w:tr w:rsidR="00E524F3" w:rsidRPr="00E524F3" w:rsidTr="00F646F5">
        <w:trPr>
          <w:gridBefore w:val="1"/>
          <w:wBefore w:w="70" w:type="dxa"/>
          <w:trHeight w:val="360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6,48%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12,04%</w:t>
            </w:r>
          </w:p>
        </w:tc>
      </w:tr>
      <w:tr w:rsidR="00E524F3" w:rsidRPr="00E524F3" w:rsidTr="00F646F5">
        <w:trPr>
          <w:gridBefore w:val="1"/>
          <w:wBefore w:w="70" w:type="dxa"/>
          <w:trHeight w:val="380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przysposabiająca do pracy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524F3" w:rsidRPr="00E524F3" w:rsidTr="00F646F5">
        <w:trPr>
          <w:gridBefore w:val="1"/>
          <w:wBefore w:w="70" w:type="dxa"/>
          <w:trHeight w:val="204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4,28%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9,54%</w:t>
            </w:r>
          </w:p>
        </w:tc>
      </w:tr>
      <w:tr w:rsidR="00E524F3" w:rsidRPr="00E524F3" w:rsidTr="00F646F5">
        <w:trPr>
          <w:gridBefore w:val="1"/>
          <w:wBefore w:w="70" w:type="dxa"/>
          <w:trHeight w:val="123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0,58%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3,66%</w:t>
            </w:r>
          </w:p>
        </w:tc>
      </w:tr>
      <w:tr w:rsidR="00E524F3" w:rsidRPr="00E524F3" w:rsidTr="00F646F5">
        <w:trPr>
          <w:gridBefore w:val="1"/>
          <w:wBefore w:w="70" w:type="dxa"/>
          <w:trHeight w:val="142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profilowane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524F3" w:rsidRPr="00E524F3" w:rsidTr="00F646F5">
        <w:trPr>
          <w:gridBefore w:val="1"/>
          <w:wBefore w:w="70" w:type="dxa"/>
          <w:trHeight w:val="146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uzupełniające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524F3" w:rsidRPr="00E524F3" w:rsidTr="00F646F5">
        <w:trPr>
          <w:gridBefore w:val="1"/>
          <w:wBefore w:w="70" w:type="dxa"/>
          <w:trHeight w:val="150"/>
        </w:trPr>
        <w:tc>
          <w:tcPr>
            <w:tcW w:w="1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E524F3" w:rsidRPr="00E524F3" w:rsidRDefault="00E524F3" w:rsidP="00E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</w:t>
            </w:r>
          </w:p>
        </w:tc>
        <w:tc>
          <w:tcPr>
            <w:tcW w:w="83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15,38%</w:t>
            </w:r>
          </w:p>
        </w:tc>
        <w:tc>
          <w:tcPr>
            <w:tcW w:w="1755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E524F3" w:rsidRPr="00E524F3" w:rsidRDefault="00E524F3" w:rsidP="00E52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524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5,77%</w:t>
            </w:r>
          </w:p>
        </w:tc>
      </w:tr>
      <w:tr w:rsidR="00E524F3" w:rsidRPr="00E524F3" w:rsidTr="00F646F5">
        <w:trPr>
          <w:gridBefore w:val="1"/>
          <w:wBefore w:w="70" w:type="dxa"/>
          <w:trHeight w:val="282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4F3" w:rsidRPr="008C7AA2" w:rsidRDefault="00E524F3" w:rsidP="00E524F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AA2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pl-PL"/>
              </w:rPr>
              <w:t>* Liczba absolwentów, którzy zdali egzamin potwierdzający kwalifikacje zawodowe.</w:t>
            </w:r>
          </w:p>
        </w:tc>
      </w:tr>
      <w:tr w:rsidR="00F646F5" w:rsidRPr="00F646F5" w:rsidTr="00F646F5">
        <w:trPr>
          <w:gridBefore w:val="1"/>
          <w:gridAfter w:val="2"/>
          <w:wBefore w:w="70" w:type="dxa"/>
          <w:wAfter w:w="1261" w:type="dxa"/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1134"/>
              <w:gridCol w:w="1134"/>
              <w:gridCol w:w="1843"/>
              <w:gridCol w:w="1984"/>
              <w:gridCol w:w="186"/>
            </w:tblGrid>
            <w:tr w:rsidR="00F646F5" w:rsidRPr="00F646F5" w:rsidTr="00F646F5">
              <w:trPr>
                <w:trHeight w:val="300"/>
              </w:trPr>
              <w:tc>
                <w:tcPr>
                  <w:tcW w:w="86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4A56C1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Tabela 9. Liczba absolwentów oraz bezrobotnych absolwentów według typu szkoły w 2015 roku </w:t>
                  </w:r>
                </w:p>
              </w:tc>
            </w:tr>
            <w:tr w:rsidR="00F646F5" w:rsidRPr="00F646F5" w:rsidTr="004A56C1">
              <w:trPr>
                <w:trHeight w:val="576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Typ szkoły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absolwentów w roku szkolnym kończącym się w roku sprawozdawczym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 bezrobotnych absolwentów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hideMark/>
                </w:tcPr>
                <w:p w:rsidR="00F646F5" w:rsidRPr="00F646F5" w:rsidRDefault="00F646F5" w:rsidP="004A56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Wskaźnik frakcji bezrobotnych wśród absolwentów (%)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556"/>
              </w:trPr>
              <w:tc>
                <w:tcPr>
                  <w:tcW w:w="2359" w:type="dxa"/>
                  <w:tcBorders>
                    <w:top w:val="nil"/>
                    <w:left w:val="single" w:sz="4" w:space="0" w:color="999999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ogółem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posiadający tytuł zawodowy*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 na koniec grudnia roku sprawozdawczego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 na koniec grudnia roku sprawozdawczego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124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zasadnicza szkoła zawodowa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79,17%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102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szkoła przysposabiająca do pracy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174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technikum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116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116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35,34%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156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497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5,43%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102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liceum profilowane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132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liceum uzupełniające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nil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F646F5" w:rsidRPr="00F646F5" w:rsidTr="004A56C1">
              <w:trPr>
                <w:trHeight w:val="145"/>
              </w:trPr>
              <w:tc>
                <w:tcPr>
                  <w:tcW w:w="2359" w:type="dxa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szkoła policealna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959595"/>
                    <w:left w:val="single" w:sz="4" w:space="0" w:color="959595"/>
                    <w:bottom w:val="single" w:sz="4" w:space="0" w:color="959595"/>
                    <w:right w:val="single" w:sz="4" w:space="0" w:color="959595"/>
                  </w:tcBorders>
                  <w:shd w:val="clear" w:color="auto" w:fill="auto"/>
                  <w:vAlign w:val="center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646F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33,33%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6F5" w:rsidRPr="00F646F5" w:rsidRDefault="00F646F5" w:rsidP="00F646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646F5" w:rsidRPr="00F646F5" w:rsidTr="00F646F5">
              <w:trPr>
                <w:trHeight w:val="300"/>
              </w:trPr>
              <w:tc>
                <w:tcPr>
                  <w:tcW w:w="86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46F5" w:rsidRPr="004A56C1" w:rsidRDefault="00F646F5" w:rsidP="00F646F5">
                  <w:pPr>
                    <w:spacing w:after="0" w:line="240" w:lineRule="auto"/>
                    <w:rPr>
                      <w:rFonts w:ascii="Helvetica" w:eastAsia="Times New Roman" w:hAnsi="Helvetica" w:cs="Helvetica"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4A56C1">
                    <w:rPr>
                      <w:rFonts w:ascii="Helvetica" w:eastAsia="Times New Roman" w:hAnsi="Helvetica" w:cs="Helvetica"/>
                      <w:bCs/>
                      <w:color w:val="000000"/>
                      <w:sz w:val="16"/>
                      <w:szCs w:val="16"/>
                      <w:lang w:eastAsia="pl-PL"/>
                    </w:rPr>
                    <w:t>* Liczba absolwentów, którzy zdali egzamin potwierdzający kwalifikacje zawodowe.</w:t>
                  </w:r>
                </w:p>
              </w:tc>
            </w:tr>
          </w:tbl>
          <w:p w:rsidR="00F646F5" w:rsidRPr="00F646F5" w:rsidRDefault="00F646F5" w:rsidP="00F646F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646F5" w:rsidRDefault="008C7AA2" w:rsidP="001E6D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Celem powyższej analizy jest wskazanie w jakim stopniu kompetencje i wiedza uzyskana w trakcie nauki</w:t>
      </w:r>
      <w:r w:rsidR="001E6D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zabezpieczają absolwentów przed koniecznością długotrwałego pozostawania w rejestrach urzędów pracy jako osoby bezrobotne. W tej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analizie za absolwenta uważa się osobę, która </w:t>
      </w:r>
      <w:r w:rsidR="00515C65">
        <w:rPr>
          <w:rFonts w:ascii="Times New Roman" w:hAnsi="Times New Roman" w:cs="Times New Roman"/>
          <w:sz w:val="26"/>
          <w:szCs w:val="26"/>
        </w:rPr>
        <w:t>w okresie do upływu 12 miesięcy od daty ukończenia szkoły określonej w dyplomie, świadectwie czy innym dokumencie potwierdzającym ukończenie, lub w zaświadczeniu o ukończeniu kursu, pozostaje w</w:t>
      </w:r>
      <w:r w:rsidR="001E6DAF">
        <w:rPr>
          <w:rFonts w:ascii="Times New Roman" w:hAnsi="Times New Roman" w:cs="Times New Roman"/>
          <w:sz w:val="26"/>
          <w:szCs w:val="26"/>
        </w:rPr>
        <w:t> </w:t>
      </w:r>
      <w:r w:rsidR="00515C65">
        <w:rPr>
          <w:rFonts w:ascii="Times New Roman" w:hAnsi="Times New Roman" w:cs="Times New Roman"/>
          <w:sz w:val="26"/>
          <w:szCs w:val="26"/>
        </w:rPr>
        <w:t xml:space="preserve">rejestrze powiatowego urzędu pracy. </w:t>
      </w:r>
    </w:p>
    <w:p w:rsidR="00515C65" w:rsidRDefault="001E6DAF" w:rsidP="001E6D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Powyższe</w:t>
      </w:r>
      <w:r w:rsidR="00515C65">
        <w:rPr>
          <w:rFonts w:ascii="Times New Roman" w:hAnsi="Times New Roman" w:cs="Times New Roman"/>
          <w:sz w:val="26"/>
          <w:szCs w:val="26"/>
        </w:rPr>
        <w:t xml:space="preserve"> wskaźnik</w:t>
      </w:r>
      <w:r>
        <w:rPr>
          <w:rFonts w:ascii="Times New Roman" w:hAnsi="Times New Roman" w:cs="Times New Roman"/>
          <w:sz w:val="26"/>
          <w:szCs w:val="26"/>
        </w:rPr>
        <w:t>i informują</w:t>
      </w:r>
      <w:r w:rsidR="00515C65">
        <w:rPr>
          <w:rFonts w:ascii="Times New Roman" w:hAnsi="Times New Roman" w:cs="Times New Roman"/>
          <w:sz w:val="26"/>
          <w:szCs w:val="26"/>
        </w:rPr>
        <w:t xml:space="preserve">, jaki odsetek absolwentów w elementarnej grupie zawodów, kierunku nauki, szkoły </w:t>
      </w:r>
      <w:r>
        <w:rPr>
          <w:rFonts w:ascii="Times New Roman" w:hAnsi="Times New Roman" w:cs="Times New Roman"/>
          <w:sz w:val="26"/>
          <w:szCs w:val="26"/>
        </w:rPr>
        <w:t>stanowią bezrobotni absolwenci</w:t>
      </w:r>
      <w:r w:rsidR="00515C65">
        <w:rPr>
          <w:rFonts w:ascii="Times New Roman" w:hAnsi="Times New Roman" w:cs="Times New Roman"/>
          <w:sz w:val="26"/>
          <w:szCs w:val="26"/>
        </w:rPr>
        <w:t xml:space="preserve"> zarejestrowani w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15C65">
        <w:rPr>
          <w:rFonts w:ascii="Times New Roman" w:hAnsi="Times New Roman" w:cs="Times New Roman"/>
          <w:sz w:val="26"/>
          <w:szCs w:val="26"/>
        </w:rPr>
        <w:t xml:space="preserve">urzędzie pracy w danych zawodach. </w:t>
      </w:r>
      <w:r w:rsidR="00E30416">
        <w:rPr>
          <w:rFonts w:ascii="Times New Roman" w:hAnsi="Times New Roman" w:cs="Times New Roman"/>
          <w:sz w:val="26"/>
          <w:szCs w:val="26"/>
        </w:rPr>
        <w:t xml:space="preserve">Miernik 0% oznacza brak bezrobotnych wśród absolwentów według wybranej specyfikacji. Wskaźnik 100% natomiast oznacza sytuację, w której każdy absolwent w elementarnej </w:t>
      </w:r>
      <w:r>
        <w:rPr>
          <w:rFonts w:ascii="Times New Roman" w:hAnsi="Times New Roman" w:cs="Times New Roman"/>
          <w:sz w:val="26"/>
          <w:szCs w:val="26"/>
        </w:rPr>
        <w:t>grupie</w:t>
      </w:r>
      <w:r w:rsidR="00E30416">
        <w:rPr>
          <w:rFonts w:ascii="Times New Roman" w:hAnsi="Times New Roman" w:cs="Times New Roman"/>
          <w:sz w:val="26"/>
          <w:szCs w:val="26"/>
        </w:rPr>
        <w:t xml:space="preserve"> zawodów, kierunku nauki i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30416">
        <w:rPr>
          <w:rFonts w:ascii="Times New Roman" w:hAnsi="Times New Roman" w:cs="Times New Roman"/>
          <w:sz w:val="26"/>
          <w:szCs w:val="26"/>
        </w:rPr>
        <w:t>szkoły jest zarejestrowany jako osoba bezrobotna w urzędzie pracy. Im niższe wskaźniki, tym bardziej da</w:t>
      </w:r>
      <w:r>
        <w:rPr>
          <w:rFonts w:ascii="Times New Roman" w:hAnsi="Times New Roman" w:cs="Times New Roman"/>
          <w:sz w:val="26"/>
          <w:szCs w:val="26"/>
        </w:rPr>
        <w:t>na grupa jest uznana za</w:t>
      </w:r>
      <w:r w:rsidR="00E30416">
        <w:rPr>
          <w:rFonts w:ascii="Times New Roman" w:hAnsi="Times New Roman" w:cs="Times New Roman"/>
          <w:sz w:val="26"/>
          <w:szCs w:val="26"/>
        </w:rPr>
        <w:t xml:space="preserve"> dostosowaną do potrzeb lokalnego rynku pracy, gdyż jej absolwenci znajdują zatrudnienie w ciągu 6 do 11 miesięcy od ukończenia szkoły. </w:t>
      </w:r>
    </w:p>
    <w:p w:rsidR="00C70B3C" w:rsidRDefault="00C70B3C" w:rsidP="001E6D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Powyższa analiza dowodzi, że w rejestrach Powiatowego Urzędu Pracy w Grójcu, nie ma właściwie absolwentów posiadających zawód z grup deficytowych, nadwyżkowych. J</w:t>
      </w:r>
      <w:r w:rsidR="004A56C1">
        <w:rPr>
          <w:rFonts w:ascii="Times New Roman" w:hAnsi="Times New Roman" w:cs="Times New Roman"/>
          <w:sz w:val="26"/>
          <w:szCs w:val="26"/>
        </w:rPr>
        <w:t>ednak</w:t>
      </w:r>
      <w:r>
        <w:rPr>
          <w:rFonts w:ascii="Times New Roman" w:hAnsi="Times New Roman" w:cs="Times New Roman"/>
          <w:sz w:val="26"/>
          <w:szCs w:val="26"/>
        </w:rPr>
        <w:t xml:space="preserve"> najwyższy wskaźnik frakcji absolwentów wśród bezrobotnych informuje że, w najtrudniejszej sytuacji na rynku pracy były osoby kończące zasadniczą szkołę zawodową, ponieważ aż 79,1% bezrobotnych absolwentów pozostawało bez pracy w końcu roku 2015. </w:t>
      </w:r>
    </w:p>
    <w:p w:rsidR="005E393D" w:rsidRDefault="005E393D" w:rsidP="0070146C">
      <w:pPr>
        <w:pStyle w:val="Nagwek1"/>
        <w:numPr>
          <w:ilvl w:val="0"/>
          <w:numId w:val="1"/>
        </w:numPr>
        <w:rPr>
          <w:b/>
        </w:rPr>
      </w:pPr>
      <w:bookmarkStart w:id="9" w:name="_Toc449705515"/>
      <w:r w:rsidRPr="0070146C">
        <w:rPr>
          <w:b/>
        </w:rPr>
        <w:t>Badanie kwestionariuszowe przedsiębiorstw</w:t>
      </w:r>
      <w:bookmarkEnd w:id="9"/>
    </w:p>
    <w:p w:rsidR="00395C20" w:rsidRDefault="00395C20" w:rsidP="00774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6"/>
          <w:szCs w:val="26"/>
        </w:rPr>
      </w:pPr>
    </w:p>
    <w:p w:rsidR="0070146C" w:rsidRDefault="0070146C" w:rsidP="00395C2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Analiza lokalnego rynku pracy w oparciu o badanie kwestionariuszowe przedsiębiorstw, ma na celu ukazanie pełniejszego obrazu kierunków</w:t>
      </w:r>
      <w:r w:rsidR="00774040">
        <w:rPr>
          <w:rFonts w:ascii="Times New Roman" w:eastAsia="SymbolMT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 oraz natężenia zmian zachodzących na lokalnym rynku pracy. Badanie to pozwala na porównanie oczekiwań pracodawców z cechami osób bezrobotnych zarejestrowanych w</w:t>
      </w:r>
      <w:r w:rsidR="00395C20">
        <w:rPr>
          <w:rFonts w:ascii="Times New Roman" w:eastAsia="SymbolMT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>powiatowym urzędzie pracy. Stanowi</w:t>
      </w:r>
      <w:r w:rsidR="0077404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 ono 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również </w:t>
      </w:r>
      <w:r w:rsidR="00774040"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cenne 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>źródło informacji o</w:t>
      </w:r>
      <w:r w:rsidR="00625EE6">
        <w:rPr>
          <w:rFonts w:ascii="Times New Roman" w:eastAsia="SymbolMT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sposobach </w:t>
      </w:r>
      <w:r w:rsidR="00774040">
        <w:rPr>
          <w:rFonts w:ascii="Times New Roman" w:eastAsia="SymbolMT" w:hAnsi="Times New Roman" w:cs="Times New Roman"/>
          <w:color w:val="000000"/>
          <w:sz w:val="26"/>
          <w:szCs w:val="26"/>
        </w:rPr>
        <w:t>rekrutacji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>, oraz o</w:t>
      </w:r>
      <w:r w:rsidR="00774040">
        <w:rPr>
          <w:rFonts w:ascii="Times New Roman" w:eastAsia="SymbolMT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trudnościach jakie napotykają pracodawcy w procesie pozyskiwania nowych kandydatów do pracy. </w:t>
      </w:r>
    </w:p>
    <w:p w:rsidR="00774040" w:rsidRDefault="00774040" w:rsidP="007740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ab/>
        <w:t xml:space="preserve">Badaniem kwestionariuszowym przedsiębiorstw objęte były podmioty gospodarcze funkcjonujące na lokalnym rynku pracy, zatrudniające przynajmniej 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lastRenderedPageBreak/>
        <w:t>jednego pracownika. Badanie przeprowadzono metodą CATI tj. metodą wspomaganych komputerowo wywiadów telefonicznych. Wielkość próby do badania została wyznaczona w oparciu o poniższy wzór:</w:t>
      </w:r>
    </w:p>
    <w:p w:rsidR="00F64D56" w:rsidRPr="00F107BF" w:rsidRDefault="00F64D56" w:rsidP="005E393D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-ItalicMT" w:cs="SymbolMT"/>
          <w:color w:val="000000"/>
          <w:sz w:val="28"/>
          <w:szCs w:val="28"/>
        </w:rPr>
      </w:pPr>
      <m:oMathPara>
        <m:oMath>
          <m:r>
            <w:rPr>
              <w:rFonts w:ascii="Cambria Math" w:eastAsia="SymbolMT" w:hAnsi="Cambria Math" w:cs="Cambria Math"/>
              <w:color w:val="000000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 w:eastAsia="SymbolMT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SymbolMT" w:hAnsi="Cambria Math" w:cs="SymbolMT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SymbolMT" w:hAnsi="Cambria Math" w:cs="Cambria Math"/>
                  <w:color w:val="000000"/>
                  <w:sz w:val="28"/>
                  <w:szCs w:val="28"/>
                </w:rPr>
                <m:t>P(1-P)</m:t>
              </m:r>
            </m:num>
            <m:den>
              <m:f>
                <m:fPr>
                  <m:ctrlPr>
                    <w:rPr>
                      <w:rFonts w:ascii="Cambria Math" w:eastAsia="SymbolMT" w:hAnsi="Cambria Math" w:cs="SymbolMT"/>
                      <w:color w:val="0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SymbolMT" w:hAnsi="Cambria Math" w:cs="SymbolMT"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SymbolMT" w:hAnsi="Cambria Math" w:cs="SymbolMT"/>
                          <w:color w:val="000000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SymbolMT" w:hAnsi="Cambria Math" w:cs="SymbolMT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SymbolMT" w:hAnsi="Cambria Math" w:cs="SymbolMT"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SymbolMT" w:hAnsi="Cambria Math" w:cs="SymbolMT"/>
                          <w:color w:val="000000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SymbolMT" w:hAnsi="Cambria Math" w:cs="SymbolMT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SymbolMT" w:hAnsi="Cambria Math" w:cs="SymbolMT"/>
                  <w:color w:val="00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SymbolMT" w:hAnsi="Cambria Math" w:cs="SymbolMT"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SymbolMT" w:hAnsi="Cambria Math" w:cs="SymbolMT"/>
                      <w:color w:val="000000"/>
                      <w:sz w:val="28"/>
                      <w:szCs w:val="28"/>
                    </w:rPr>
                    <m:t>P(1-P)</m:t>
                  </m:r>
                </m:num>
                <m:den>
                  <m:r>
                    <w:rPr>
                      <w:rFonts w:ascii="Cambria Math" w:eastAsia="SymbolMT" w:hAnsi="Cambria Math" w:cs="SymbolMT"/>
                      <w:color w:val="000000"/>
                      <w:sz w:val="28"/>
                      <w:szCs w:val="28"/>
                    </w:rPr>
                    <m:t>N</m:t>
                  </m:r>
                </m:den>
              </m:f>
            </m:den>
          </m:f>
        </m:oMath>
      </m:oMathPara>
    </w:p>
    <w:p w:rsidR="00F107BF" w:rsidRDefault="0099747E" w:rsidP="005E393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g</w:t>
      </w:r>
      <w:r w:rsidR="00F107BF">
        <w:rPr>
          <w:rFonts w:ascii="Times New Roman" w:eastAsia="SymbolMT" w:hAnsi="Times New Roman" w:cs="Times New Roman"/>
          <w:color w:val="000000"/>
          <w:sz w:val="26"/>
          <w:szCs w:val="26"/>
        </w:rPr>
        <w:t>dzie:</w:t>
      </w:r>
    </w:p>
    <w:p w:rsidR="00F107BF" w:rsidRDefault="00F107BF" w:rsidP="005E393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P- oszacowana proporcja w populacji,</w:t>
      </w:r>
    </w:p>
    <w:p w:rsidR="00F107BF" w:rsidRDefault="00F107BF" w:rsidP="005E393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e- dopuszczalny błąd,</w:t>
      </w:r>
    </w:p>
    <w:p w:rsidR="00F107BF" w:rsidRDefault="00F107BF" w:rsidP="005E393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n – wielkość próby,</w:t>
      </w:r>
    </w:p>
    <w:p w:rsidR="00F107BF" w:rsidRDefault="00F107BF" w:rsidP="005E393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N – wielkość populacji,</w:t>
      </w:r>
    </w:p>
    <w:p w:rsidR="00F107BF" w:rsidRDefault="00F107BF" w:rsidP="005E393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z – wartość Z wynikająca z przyjętego poziomu ufności. </w:t>
      </w:r>
    </w:p>
    <w:p w:rsidR="0099747E" w:rsidRDefault="0099747E" w:rsidP="005E393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</w:p>
    <w:p w:rsidR="00187866" w:rsidRDefault="00395C20" w:rsidP="0039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Wskaźnik zatrudnienia netto, z punktu widzenia badania przedsiębiorstw, jest obliczany jako różnica frakcji odpowiedzi pozytywnych i negatywnych (po uwzględnieniu wag):</w:t>
      </w:r>
    </w:p>
    <w:p w:rsidR="00187866" w:rsidRPr="00FE318F" w:rsidRDefault="00187866" w:rsidP="00187866">
      <w:pPr>
        <w:rPr>
          <w:sz w:val="32"/>
        </w:rPr>
      </w:pPr>
      <m:oMath>
        <m:r>
          <w:rPr>
            <w:rFonts w:ascii="Cambria Math" w:hAnsi="Cambria Math"/>
            <w:sz w:val="32"/>
          </w:rPr>
          <m:t>WZ=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P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wp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 xml:space="preserve"> 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wp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 xml:space="preserve"> 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 xml:space="preserve"> 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/>
                <w:sz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N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wp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 xml:space="preserve"> 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 xml:space="preserve"> 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wp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 xml:space="preserve"> 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</w:rPr>
                      <m:t>wr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 xml:space="preserve"> 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2"/>
          </w:rPr>
          <m:t>*</m:t>
        </m:r>
      </m:oMath>
      <w:r w:rsidRPr="00FE318F">
        <w:rPr>
          <w:rFonts w:eastAsiaTheme="minorEastAsia"/>
          <w:sz w:val="32"/>
        </w:rPr>
        <w:t>100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gdzie: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P – liczba odpowiedzi pozytywnych,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N – liczba odpowiedzi negatywnych,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S – liczba obserwacji (łączna liczba przedsiębiorstw w próbie), 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I – numer obserwacji,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SymbolMT" w:hAnsi="Times New Roman" w:cs="Times New Roman"/>
          <w:color w:val="000000"/>
          <w:sz w:val="26"/>
          <w:szCs w:val="26"/>
        </w:rPr>
        <w:t>Wp</w:t>
      </w:r>
      <w:proofErr w:type="spellEnd"/>
      <m:oMath>
        <m:f>
          <m:fPr>
            <m:ctrlPr>
              <w:rPr>
                <w:rFonts w:ascii="Cambria Math" w:eastAsia="SymbolMT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SymbolMT" w:hAnsi="Cambria Math" w:cs="Times New Roman"/>
                <w:color w:val="000000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SymbolMT" w:hAnsi="Cambria Math" w:cs="Times New Roman"/>
                <w:color w:val="000000"/>
                <w:sz w:val="26"/>
                <w:szCs w:val="26"/>
              </w:rPr>
              <m:t>i</m:t>
            </m:r>
          </m:den>
        </m:f>
      </m:oMath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 – waga próby dla i – tej obserwacji,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SymbolMT" w:hAnsi="Times New Roman" w:cs="Times New Roman"/>
          <w:color w:val="000000"/>
          <w:sz w:val="26"/>
          <w:szCs w:val="26"/>
        </w:rPr>
        <w:t>wr</w:t>
      </w:r>
      <w:proofErr w:type="spellEnd"/>
      <m:oMath>
        <m:f>
          <m:fPr>
            <m:ctrlPr>
              <w:rPr>
                <w:rFonts w:ascii="Cambria Math" w:eastAsia="SymbolMT" w:hAnsi="Cambria Math" w:cs="Times New Roman"/>
                <w:i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SymbolMT" w:hAnsi="Cambria Math" w:cs="Times New Roman"/>
                <w:color w:val="000000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SymbolMT" w:hAnsi="Cambria Math" w:cs="Times New Roman"/>
                <w:color w:val="000000"/>
                <w:sz w:val="26"/>
                <w:szCs w:val="26"/>
              </w:rPr>
              <m:t>i</m:t>
            </m:r>
          </m:den>
        </m:f>
      </m:oMath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 – waga rozmiaru dla i – tej obserwacji,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Pi – wskazanie pozytywne dla i – tej obserwacji,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Ni – wskazanie negatywne dla i – tej obserwacji,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>Si – suma wszystkich wskazań dla i – tej obserwacji.</w:t>
      </w:r>
    </w:p>
    <w:p w:rsidR="004C6346" w:rsidRDefault="004C6346" w:rsidP="004C634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6"/>
          <w:szCs w:val="26"/>
        </w:rPr>
      </w:pPr>
    </w:p>
    <w:p w:rsidR="004C6346" w:rsidRDefault="004C6346" w:rsidP="00F75A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Saldo odpowiedzi na dane pytanie diagnostyczne w okresie badawczym przyjmuje wartości od – 100 do 100. Wartości ujemne oznaczają pogorszenie sytuacji w przedsiębiorstwie. Im niższa wartość </w:t>
      </w:r>
      <w:r w:rsidR="00C7521D">
        <w:rPr>
          <w:rFonts w:ascii="Times New Roman" w:eastAsia="SymbolMT" w:hAnsi="Times New Roman" w:cs="Times New Roman"/>
          <w:color w:val="000000"/>
          <w:sz w:val="26"/>
          <w:szCs w:val="26"/>
        </w:rPr>
        <w:t>prezentowanych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 indeksów tym wyższy odsetek firm deklaruje niekorzystne zmiany w obszarze zatrudnienia. Natomiast wartości dodatnie wyliczanych indeksów </w:t>
      </w:r>
      <w:r w:rsidR="00C7521D">
        <w:rPr>
          <w:rFonts w:ascii="Times New Roman" w:eastAsia="SymbolMT" w:hAnsi="Times New Roman" w:cs="Times New Roman"/>
          <w:color w:val="000000"/>
          <w:sz w:val="26"/>
          <w:szCs w:val="26"/>
        </w:rPr>
        <w:t>oznaczają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 poprawę sytuacji firm na lokalnym rynku pracy. Wartość miernika równa 0 oznacza, że odsetek firm deklarujących poprawę sytuacji jest równy odsetkowi firm sygnalizujących jej pogorszenie</w:t>
      </w:r>
      <w:r w:rsidR="0098361D">
        <w:rPr>
          <w:rFonts w:ascii="Times New Roman" w:eastAsia="SymbolMT" w:hAnsi="Times New Roman" w:cs="Times New Roman"/>
          <w:color w:val="000000"/>
          <w:sz w:val="26"/>
          <w:szCs w:val="26"/>
        </w:rPr>
        <w:t>, lub wszystkie firmy deklarują brak zmian w obszarze zatrudnienia</w:t>
      </w:r>
      <w:r>
        <w:rPr>
          <w:rFonts w:ascii="Times New Roman" w:eastAsia="SymbolMT" w:hAnsi="Times New Roman" w:cs="Times New Roman"/>
          <w:color w:val="000000"/>
          <w:sz w:val="26"/>
          <w:szCs w:val="26"/>
        </w:rPr>
        <w:t xml:space="preserve">. </w:t>
      </w:r>
    </w:p>
    <w:p w:rsidR="00C7521D" w:rsidRDefault="00C7521D" w:rsidP="00F75A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mbolMT" w:hAnsi="Times New Roman" w:cs="Times New Roman"/>
          <w:color w:val="000000"/>
          <w:sz w:val="26"/>
          <w:szCs w:val="26"/>
        </w:rPr>
      </w:pPr>
      <w:r>
        <w:rPr>
          <w:rFonts w:ascii="Times New Roman" w:eastAsia="SymbolMT" w:hAnsi="Times New Roman" w:cs="Times New Roman"/>
          <w:color w:val="000000"/>
          <w:sz w:val="26"/>
          <w:szCs w:val="26"/>
        </w:rPr>
        <w:lastRenderedPageBreak/>
        <w:t xml:space="preserve">Wskaźnik zatrudnienia w powiecie grójeckim wynosi 19,76, a to oznacza że pracodawcy deklarują poprawę sytuacji firm na lokalnym rynku pracy.  </w:t>
      </w:r>
    </w:p>
    <w:p w:rsidR="00395C20" w:rsidRPr="00395C20" w:rsidRDefault="00395C20" w:rsidP="00F75A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mbolMT" w:hAnsi="Times New Roman" w:cs="Times New Roman"/>
          <w:color w:val="000000"/>
          <w:sz w:val="16"/>
          <w:szCs w:val="16"/>
        </w:rPr>
      </w:pPr>
    </w:p>
    <w:p w:rsidR="005E393D" w:rsidRPr="00395C20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Rysunek 1. Struktura badanych podmiotów gospodarki narodowej pod względem liczby zatrudnionych</w:t>
      </w:r>
    </w:p>
    <w:p w:rsidR="005E393D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P</w:t>
      </w:r>
      <w:r w:rsidR="005E393D"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racowników</w:t>
      </w:r>
    </w:p>
    <w:p w:rsidR="00395C20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50C0010" wp14:editId="5769E4D6">
            <wp:extent cx="5980253" cy="2858530"/>
            <wp:effectExtent l="0" t="0" r="0" b="0"/>
            <wp:docPr id="1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276" cy="28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Rysunek 2. Struktura badanych podmiotów gospodarki narodowej według rodzaju działalności</w:t>
      </w:r>
    </w:p>
    <w:p w:rsidR="00395C20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95C20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B680056" wp14:editId="7A8877B9">
            <wp:extent cx="6298375" cy="3048000"/>
            <wp:effectExtent l="0" t="0" r="0" b="0"/>
            <wp:docPr id="3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134" cy="30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20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95C20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Rysunek 3. Struktura zmian w zatrudnieniu w badanych podmiotach gospodarki narodowej w</w:t>
      </w:r>
      <w:r w:rsid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2015 </w:t>
      </w:r>
      <w:r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roku</w:t>
      </w:r>
    </w:p>
    <w:p w:rsidR="00395C20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95C20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4DEDEA4" wp14:editId="654FBB55">
            <wp:extent cx="6178379" cy="3079655"/>
            <wp:effectExtent l="0" t="0" r="0" b="0"/>
            <wp:docPr id="5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6753" cy="308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20" w:rsidRPr="00395C20" w:rsidRDefault="00395C20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Rysunek 4. Wskaźnik zatrudnienia netto według wielkich grup zawodów w </w:t>
      </w:r>
      <w:r w:rsidR="00D95A2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</w:t>
      </w:r>
      <w:r w:rsidRPr="00395C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roku</w:t>
      </w: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C670E92" wp14:editId="35B5F63C">
            <wp:extent cx="5760720" cy="3510898"/>
            <wp:effectExtent l="0" t="0" r="0" b="0"/>
            <wp:docPr id="6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672" cy="35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80EAB" w:rsidRDefault="00A01E5E" w:rsidP="00A01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480E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Zawody, w których badane przedsiębiorstwa najczęściej zatrudniały pracowników to: instruktor nauki jazdy, kierowca samochodu ciężarowego, księgowy, mechanik samochodów ciężarowych, operator maszyn rolniczych, przedstawiciel handlowy, robotnik gospodarczy, sprzątaczka biurowa, technik farmaceutyczny, technik handlowiec, technik mechanik maszyn i urządzeń, technik prac biurowych. </w:t>
      </w:r>
    </w:p>
    <w:p w:rsidR="00D95A22" w:rsidRDefault="00480EAB" w:rsidP="00A01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</w:t>
      </w:r>
      <w:r w:rsidR="00F97F1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A01E5E">
        <w:rPr>
          <w:rFonts w:ascii="Times New Roman" w:hAnsi="Times New Roman" w:cs="Times New Roman"/>
          <w:bCs/>
          <w:color w:val="000000"/>
          <w:sz w:val="26"/>
          <w:szCs w:val="26"/>
        </w:rPr>
        <w:t>Analiza zawodów, w których przedsiębiorstwa najczęściej zatrudniały pracowników oraz umiejętności</w:t>
      </w:r>
      <w:r w:rsidR="00F97F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niezbędnych</w:t>
      </w:r>
      <w:r w:rsidR="00A01E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w tych zawodach wykazała, że najbardziej pożądanymi cechami i umiejętnościami dla przebadanych przedsiębiorców są: czytanie ze zrozumieniem i pisanie tekstów w języku polskim,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komunikatywność, planowanie i organizacja pracy własnej, wykonywanie obliczeń, sprawność psychofizyczna i psychomotoryczna, przedsiębiorczość, inicjatywność, kreatywność, obsługa komputera i wykorzystywanie Internetu, współpraca w zespole, wyuczony zawód, wyszukiwanie informacji, analiza i wyciąganie wniosków, doświadczenie zawodowe. </w:t>
      </w:r>
    </w:p>
    <w:p w:rsidR="00480EAB" w:rsidRDefault="00480EAB" w:rsidP="00A01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Mniej wymagane są cechy i umiejętności takie jak: dodatkowe uprawnienia, obsługa, montaż i naprawa urządzeń technicznych, wywieranie wpływu, znajomość języków obcych, zarządzanie ludźmi / przywództwo. </w:t>
      </w:r>
    </w:p>
    <w:p w:rsidR="00F97F16" w:rsidRPr="00A01E5E" w:rsidRDefault="00F97F16" w:rsidP="00A01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Analiza oceny przygotowania kandydatów do pracy w zawodach, w których pracodawcy zwiększyli zatrudnienie w badanym roku wykazała, że najlepiej przygotowani byli kandydaci do pracy w zawodach: instruktor nauki jazdy, kierowca samochodu ciężarowego, mechanik samochodów ciężarowych, operator maszyn rolniczych, robotnik gospodarczy, technik farmaceutyczny, technik handlowiec, technik mechanik maszyn i urządzeń, technik prac biurowych. </w:t>
      </w:r>
    </w:p>
    <w:p w:rsidR="00D95A22" w:rsidRDefault="00D95A2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E393D" w:rsidRPr="00395C20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Rysunek 5. Rozkład odpowiedzi na pytanie „Czy Państwa firma ma problemy z pozyskiwaniem</w:t>
      </w:r>
    </w:p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nowych pracowników?”</w:t>
      </w:r>
    </w:p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3E8127C" wp14:editId="6AAC264E">
            <wp:extent cx="5760720" cy="2871470"/>
            <wp:effectExtent l="0" t="0" r="0" b="0"/>
            <wp:docPr id="4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85C97" w:rsidRPr="00395C20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395C2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Tabela 9. Zawody, w jakich przedsiębiorstwom trudno jest znaleźć odpowiednich kandydatów</w:t>
      </w:r>
      <w:r w:rsidR="00C32BC4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395C2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do pracy</w:t>
      </w:r>
    </w:p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1417"/>
        <w:gridCol w:w="1422"/>
      </w:tblGrid>
      <w:tr w:rsidR="00085C97" w:rsidRPr="00085C97" w:rsidTr="00C32BC4">
        <w:trPr>
          <w:trHeight w:val="788"/>
        </w:trPr>
        <w:tc>
          <w:tcPr>
            <w:tcW w:w="85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Trudności z pozyskaniem pracowników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- stan na koniec okresu sprawozdawczego</w:t>
            </w:r>
          </w:p>
        </w:tc>
      </w:tr>
      <w:tr w:rsidR="00085C97" w:rsidRPr="00085C97" w:rsidTr="00C32BC4">
        <w:trPr>
          <w:trHeight w:val="260"/>
        </w:trPr>
        <w:tc>
          <w:tcPr>
            <w:tcW w:w="26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Elementarna grupa zawodów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Brakujące umiejętności i uprawnienia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wskazań odpowiedzi „tak”</w:t>
            </w:r>
          </w:p>
        </w:tc>
        <w:tc>
          <w:tcPr>
            <w:tcW w:w="142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5C97" w:rsidRPr="00085C97" w:rsidTr="00C32BC4">
        <w:trPr>
          <w:trHeight w:val="152"/>
        </w:trPr>
        <w:tc>
          <w:tcPr>
            <w:tcW w:w="268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Introligatorzy i pokrewni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 ustna / komunikatywność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99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sprawność psychofizyczna i psychomotoryczna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16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współpraca w zespole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88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wyszukiwanie informacji, analiza i wyciąganie wniosków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48"/>
        </w:trPr>
        <w:tc>
          <w:tcPr>
            <w:tcW w:w="26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telekomunikacji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czytanie ze zrozumieniem i pisanie tekstów w języku polskim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01"/>
        </w:trPr>
        <w:tc>
          <w:tcPr>
            <w:tcW w:w="26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czytanie ze zrozumieniem i pisanie tekstów w języku polskim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46"/>
        </w:trPr>
        <w:tc>
          <w:tcPr>
            <w:tcW w:w="26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</w:t>
            </w:r>
            <w:r w:rsidR="00C32B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śnierze, kapelusznicy i </w:t>
            </w:r>
            <w:proofErr w:type="spellStart"/>
            <w:r w:rsidR="00C32B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pokr</w:t>
            </w:r>
            <w:proofErr w:type="spellEnd"/>
            <w:r w:rsidR="00C32B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obsługa, montaż i naprawa urządzeń technicznych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206"/>
        </w:trPr>
        <w:tc>
          <w:tcPr>
            <w:tcW w:w="268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Księgowi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czytanie ze zrozumieniem i pisanie tekstów w języku polskim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10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 ustna / komunikatywność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70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obsługa komputera i wykorzystanie Internetu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217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planowanie i organizacja pracy własnej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34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przedsiębiorczość, inicjatywność, kreatywność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62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współpraca w zespole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99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wykonywanie obliczeń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58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wyszukiwanie informacji, analiza i wyciąganie wniosków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205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wywieranie wpływu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62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zarządzanie ludźmi / przywództwo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68"/>
        </w:trPr>
        <w:tc>
          <w:tcPr>
            <w:tcW w:w="268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kształcenia zawodowego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obsługa komputera i wykorzystanie Internetu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86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przedsiębiorczość, inicjatywność, kreatywność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46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wyszukiwanie informacji, analiza i wyciąganie wniosków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93"/>
        </w:trPr>
        <w:tc>
          <w:tcPr>
            <w:tcW w:w="268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Ogółem (bez względu na zawód)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 ustna / komunikatywność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4,01%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96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wyszukiwanie informacji, analiza i wyciąganie wniosków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4,01%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74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przedsiębiorczość, inicjatywność, kreatywność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3,55%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20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wykonywanie obliczeń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3,55%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80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czytanie ze zrozumieniem i pisanie tekstów w języku polskim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98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obsługa komputera i wykorzystanie Internetu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44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planowanie i organizacja pracy własnej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44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sprawność psychofizyczna i psychomotoryczna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62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współpraca w zespole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22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wywieranie wpływu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1,34%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69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zarządzanie ludźmi / przywództwo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1,34%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214"/>
        </w:trPr>
        <w:tc>
          <w:tcPr>
            <w:tcW w:w="268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przedsiębiorczość, inicjatywność, kreatywność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19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wyszukiwanie informacji, analiza i wyciąganie wniosków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62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wywieranie wpływu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96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wykonywanie obliczeń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3,85%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43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zarządzanie ludźmi / przywództwo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3,85%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62"/>
        </w:trPr>
        <w:tc>
          <w:tcPr>
            <w:tcW w:w="2689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czytanie ze zrozumieniem i pisanie tekstów w języku polskim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21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komunikacja ustna / komunikatywność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66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obsługa komputera i wykorzystanie Internetu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70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planowanie i organizacja pracy własnej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31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przedsiębiorczość, inicjatywność, kreatywność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190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sprawność psychofizyczna i psychomotoryczna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C32BC4">
        <w:trPr>
          <w:trHeight w:val="95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wykonywanie obliczeń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085C97" w:rsidRPr="00085C97" w:rsidTr="005F61F7">
        <w:trPr>
          <w:trHeight w:val="154"/>
        </w:trPr>
        <w:tc>
          <w:tcPr>
            <w:tcW w:w="2689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wyszukiwanie informacji, analiza i wyciąganie wniosków</w:t>
            </w:r>
          </w:p>
        </w:tc>
        <w:tc>
          <w:tcPr>
            <w:tcW w:w="141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7,69%</w:t>
            </w:r>
          </w:p>
        </w:tc>
        <w:tc>
          <w:tcPr>
            <w:tcW w:w="142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85C97" w:rsidRPr="00085C97" w:rsidRDefault="00085C97" w:rsidP="0008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85C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085C97" w:rsidRDefault="00085C9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5E393D" w:rsidRPr="005F61F7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5F61F7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lastRenderedPageBreak/>
        <w:t>Rysunek 6. Struktura badanych podmiotów gospodarki narodowej pod względem sposobu poszukiwania</w:t>
      </w:r>
      <w:r w:rsidR="005F61F7" w:rsidRPr="005F61F7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Pr="005F61F7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nowych pracowników</w:t>
      </w:r>
    </w:p>
    <w:p w:rsidR="005F61F7" w:rsidRDefault="005F61F7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B9D637F" wp14:editId="31F5DC8A">
            <wp:extent cx="5760720" cy="2871470"/>
            <wp:effectExtent l="0" t="0" r="0" b="0"/>
            <wp:docPr id="7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9A" w:rsidRPr="005F61F7" w:rsidRDefault="0099569A" w:rsidP="00995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5F61F7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Rysunek 6.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1</w:t>
      </w:r>
      <w:r w:rsidRPr="005F61F7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Struktura badanych podmiotów gospodarki narodowej pod względem sposobu poszukiwania nowych pracowników</w:t>
      </w:r>
    </w:p>
    <w:p w:rsidR="005F61F7" w:rsidRDefault="0099569A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6750C2E8" wp14:editId="0E4AEBB0">
            <wp:extent cx="6038335" cy="3009849"/>
            <wp:effectExtent l="0" t="0" r="0" b="0"/>
            <wp:docPr id="8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9156" cy="30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9A" w:rsidRDefault="0099569A" w:rsidP="00720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 xml:space="preserve">Ponad 52% pracodawców deklaruje, że do Powiatowego Urzędu Pracy w Grójcu zgłasza do 10% wolnych miejsc pracy, natomiast ponad 22% przebadanych przedsiębiorców </w:t>
      </w:r>
      <w:r w:rsidR="007200B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wskazuje, że zgłasza do urzędu pracy od 76-100% informacji o miejscach zatrudnienia. </w:t>
      </w:r>
    </w:p>
    <w:p w:rsidR="0099569A" w:rsidRDefault="007200BC" w:rsidP="00720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 xml:space="preserve">Do Powiatowego Urzędu Pracy w Grójcu, ankietowani pracodawcy zgłaszają najczęściej oferty w zawodach: technik prac biurowych, robotnik magazynowy, sprzedawca, kierowca samochodu ciężarowego, mechanik samochodów ciężarowych, operator maszyn introligatorskich, pozostali specjaliści nauczania i wychowania gdzie indziej niesklasyfikowani, technik farmaceutyczny oraz księgowy. </w:t>
      </w:r>
    </w:p>
    <w:p w:rsidR="0099569A" w:rsidRDefault="007200BC" w:rsidP="007200BC">
      <w:pPr>
        <w:pStyle w:val="Nagwek1"/>
        <w:numPr>
          <w:ilvl w:val="0"/>
          <w:numId w:val="1"/>
        </w:numPr>
        <w:rPr>
          <w:b/>
        </w:rPr>
      </w:pPr>
      <w:bookmarkStart w:id="10" w:name="_Toc449705516"/>
      <w:r w:rsidRPr="007200BC">
        <w:rPr>
          <w:b/>
        </w:rPr>
        <w:lastRenderedPageBreak/>
        <w:t>Prognoza lokalnego rynku pracy</w:t>
      </w:r>
      <w:bookmarkEnd w:id="10"/>
    </w:p>
    <w:p w:rsidR="007200BC" w:rsidRDefault="007200BC" w:rsidP="007200BC"/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9A41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Rysunek 7. Struktura prognozowanych zmian zatrudnienia w badanych podmiotach gospodarki</w:t>
      </w:r>
      <w:r w:rsidR="009A41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Pr="009A41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narodowej w</w:t>
      </w:r>
      <w:r w:rsidR="009A41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2016 r. </w:t>
      </w:r>
    </w:p>
    <w:p w:rsidR="009A4172" w:rsidRPr="009A4172" w:rsidRDefault="009A417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1457510" wp14:editId="73BA466F">
            <wp:extent cx="5933079" cy="2957384"/>
            <wp:effectExtent l="0" t="0" r="0" b="0"/>
            <wp:docPr id="9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1366" cy="297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72" w:rsidRDefault="009A417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9A4172" w:rsidRDefault="009A417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5E393D" w:rsidRDefault="005E393D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9A41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Rysunek 8. Prognoza zatrudnienia nett</w:t>
      </w:r>
      <w:r w:rsidR="009A4172" w:rsidRPr="009A41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o dla wielkich grup zawodów w 1016 </w:t>
      </w:r>
      <w:r w:rsidRPr="009A417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roku</w:t>
      </w:r>
    </w:p>
    <w:p w:rsidR="009A4172" w:rsidRPr="009A4172" w:rsidRDefault="009A4172" w:rsidP="005E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C0876F4" wp14:editId="049BB76C">
            <wp:extent cx="5760720" cy="3161665"/>
            <wp:effectExtent l="0" t="0" r="0" b="0"/>
            <wp:docPr id="10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72" w:rsidRDefault="009A4172" w:rsidP="002D4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>W 2016 roku prognozuje się</w:t>
      </w:r>
      <w:r w:rsidR="002D428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wzrost zatrudnienia w zawodach: pracownicy usług i sprzedawcy, technicy i średni personel, operatorzy i monterzy maszyn i urządzeń, pracownicy biurowi, pracownicy przy pracach prostych, rolnicy, ogrodnicy, leśnicy i</w:t>
      </w:r>
      <w:r w:rsidR="002D428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rybacy, robotnicy przemysłowi i rzemieślnicy, specjaliści. </w:t>
      </w:r>
    </w:p>
    <w:p w:rsidR="009A4172" w:rsidRDefault="009A4172" w:rsidP="002D4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 xml:space="preserve">Nie przewiduje się wzrostu zatrudnienia w zawodach z grupy przedstawiciele władz publicznych, wyżsi urzędnicy i kierownicy. </w:t>
      </w:r>
    </w:p>
    <w:p w:rsidR="002D4285" w:rsidRDefault="002D4285" w:rsidP="002D4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lastRenderedPageBreak/>
        <w:tab/>
        <w:t xml:space="preserve">Najbardziej istotne umiejętności i cechy dla pracodawców u potencjalnych pracowników to przede wszystkim: planowanie i organizacja własnej pracy, komunikacja ustna/komunikatywność, współpraca w zespole, sprawność psychofizyczna i psychomotoryczna, czytanie ze zrozumieniem i pisanie tekstów w języku polskim, wykonywanie obliczeń, przedsiębiorczość, inicjatywność, kreatywność, doświadczenie zawodowe, obsługa komputera i wykorzystanie Internetu. </w:t>
      </w:r>
    </w:p>
    <w:p w:rsidR="002D4285" w:rsidRDefault="002D4285" w:rsidP="002D4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 xml:space="preserve">Najmniej istotne z kolei dla pracodawców są cechy i umiejętności takie jak: znajomość języków obcych, wywieranie wpływu, dodatkowe uprawnienia, obsługa, montaż i naprawa urządzeń technicznych, zarządzanie ludźmi / przywództwo, wyuczony zawód, wyszukiwanie informacji, analiza i wyciąganie wniosków.  </w:t>
      </w:r>
    </w:p>
    <w:p w:rsidR="00D348FD" w:rsidRDefault="00D348FD" w:rsidP="002D4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>Analiza oceny przygotowania kandydatów do pracy w zawodach, w których pracodawcy zwiększyli zatrudnienie, wykazuje że na dobre lub bardzo dobre przygotowanie kandydatów do pracy wskazują pracodawcy zatrudniający pracowników w zawodach: instruktor nauki jazdy, kierowca samochodu ciężarowego, mechanik samochodów ciężarowy</w:t>
      </w:r>
      <w:r w:rsidR="0016247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ch, operator maszyn rolniczych, robotnik gospodarczy, technik farmaceutyczny, technik handlowiec, technik mechanik maszyn i urządzeń, technik prac biurowych. </w:t>
      </w:r>
      <w:r w:rsidR="0016247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</w:r>
    </w:p>
    <w:p w:rsidR="00162472" w:rsidRPr="009A4172" w:rsidRDefault="00162472" w:rsidP="002D4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 xml:space="preserve">Średnie przygotowanie do zawodu wskazali pracodawcy w zawodzie przedstawiciel handlowy. </w:t>
      </w:r>
    </w:p>
    <w:p w:rsidR="009A4172" w:rsidRDefault="009A4172" w:rsidP="002D4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9A4172" w:rsidRPr="00162472" w:rsidRDefault="00162472" w:rsidP="00162472">
      <w:pPr>
        <w:pStyle w:val="Nagwek1"/>
        <w:rPr>
          <w:b/>
        </w:rPr>
      </w:pPr>
      <w:bookmarkStart w:id="11" w:name="_Toc449705517"/>
      <w:r w:rsidRPr="00162472">
        <w:rPr>
          <w:b/>
        </w:rPr>
        <w:t>Podsumowanie</w:t>
      </w:r>
      <w:bookmarkEnd w:id="11"/>
    </w:p>
    <w:p w:rsidR="00162472" w:rsidRDefault="00162472" w:rsidP="00162472"/>
    <w:p w:rsidR="00F05A16" w:rsidRDefault="00F05A16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Powyższy Monitoring zawodów deficytowych i nadwyżkowych w powiecie grójeckim w 2015 roku wykazuje zachodzenie dynamicznych zmian na lokalnym rynku pracy:</w:t>
      </w:r>
    </w:p>
    <w:p w:rsidR="009944DE" w:rsidRDefault="009944DE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wg stanu na koniec 2015r w Urzędzie zarejestrowanych było 1986 bezrobotnych, w</w:t>
      </w:r>
      <w:r w:rsidR="00E961D8">
        <w:rPr>
          <w:rFonts w:ascii="Times New Roman" w:hAnsi="Times New Roman" w:cs="Times New Roman"/>
          <w:sz w:val="26"/>
          <w:szCs w:val="26"/>
        </w:rPr>
        <w:t> </w:t>
      </w:r>
      <w:r w:rsidR="00F05A16">
        <w:rPr>
          <w:rFonts w:ascii="Times New Roman" w:hAnsi="Times New Roman" w:cs="Times New Roman"/>
          <w:sz w:val="26"/>
          <w:szCs w:val="26"/>
        </w:rPr>
        <w:t xml:space="preserve">tym 945 kobiet, co oznacza że </w:t>
      </w:r>
      <w:r>
        <w:rPr>
          <w:rFonts w:ascii="Times New Roman" w:hAnsi="Times New Roman" w:cs="Times New Roman"/>
          <w:sz w:val="26"/>
          <w:szCs w:val="26"/>
        </w:rPr>
        <w:t>liczba bezrobotnych zmniejszyła się o 713 osób w</w:t>
      </w:r>
      <w:r w:rsidR="00F05A1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porównaniu do analogicznego okresu</w:t>
      </w:r>
      <w:r w:rsidR="00F05A16">
        <w:rPr>
          <w:rFonts w:ascii="Times New Roman" w:hAnsi="Times New Roman" w:cs="Times New Roman"/>
          <w:sz w:val="26"/>
          <w:szCs w:val="26"/>
        </w:rPr>
        <w:t xml:space="preserve"> w roku 2014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944DE" w:rsidRDefault="009944DE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stopa bezrobocia na dzień 31.12.2015 w powiecie grójeckim wynosiła 4,5%</w:t>
      </w:r>
      <w:r w:rsidR="00F05A16">
        <w:rPr>
          <w:rFonts w:ascii="Times New Roman" w:hAnsi="Times New Roman" w:cs="Times New Roman"/>
          <w:sz w:val="26"/>
          <w:szCs w:val="26"/>
        </w:rPr>
        <w:t xml:space="preserve"> i zmalała w porównaniu do roku 2014 o 1,8%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944DE" w:rsidRDefault="009944DE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w 2015 roku Powiatowy Urząd Pracy w Grójcu posiadał 3051 ofert pracy i aktywizacji zawodowej,</w:t>
      </w:r>
      <w:r w:rsidR="00D073F2">
        <w:rPr>
          <w:rFonts w:ascii="Times New Roman" w:hAnsi="Times New Roman" w:cs="Times New Roman"/>
          <w:sz w:val="26"/>
          <w:szCs w:val="26"/>
        </w:rPr>
        <w:t xml:space="preserve"> co oznacza wzrost pozyskanych ofert o 375 w porównaniu do roku 2014,</w:t>
      </w:r>
    </w:p>
    <w:p w:rsidR="009944DE" w:rsidRDefault="009944DE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7C8A">
        <w:rPr>
          <w:rFonts w:ascii="Times New Roman" w:hAnsi="Times New Roman" w:cs="Times New Roman"/>
          <w:sz w:val="26"/>
          <w:szCs w:val="26"/>
        </w:rPr>
        <w:t xml:space="preserve">maksymalny deficyt występuje w zawodach: farmaceuci bez specjalizacji lub w trakcie specjalizacji, pośrednicy </w:t>
      </w:r>
      <w:r w:rsidR="00E961D8">
        <w:rPr>
          <w:rFonts w:ascii="Times New Roman" w:hAnsi="Times New Roman" w:cs="Times New Roman"/>
          <w:sz w:val="26"/>
          <w:szCs w:val="26"/>
        </w:rPr>
        <w:t>handlowi</w:t>
      </w:r>
      <w:r w:rsidR="00447C8A">
        <w:rPr>
          <w:rFonts w:ascii="Times New Roman" w:hAnsi="Times New Roman" w:cs="Times New Roman"/>
          <w:sz w:val="26"/>
          <w:szCs w:val="26"/>
        </w:rPr>
        <w:t>, lektorzy języków obcych, operatorzy maszyn do szycia, kierownicy sprzedaży w marketach, operatorzy maszyn i urządzeń do produkcji wyrobów cementowych, kamiennych i pokrewni,</w:t>
      </w:r>
    </w:p>
    <w:p w:rsidR="00447C8A" w:rsidRDefault="00447C8A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zawody deficytowe w powiecie grójeckim to: </w:t>
      </w:r>
      <w:proofErr w:type="spellStart"/>
      <w:r>
        <w:rPr>
          <w:rFonts w:ascii="Times New Roman" w:hAnsi="Times New Roman" w:cs="Times New Roman"/>
          <w:sz w:val="26"/>
          <w:szCs w:val="26"/>
        </w:rPr>
        <w:t>windykatorzy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pokrewni, kierownicy ds. zarządzania zasobami ludzkimi, kierownicy w gastronomii, robotnicy wykonujący prace proste polowe, </w:t>
      </w:r>
      <w:r w:rsidR="00E961D8">
        <w:rPr>
          <w:rFonts w:ascii="Times New Roman" w:hAnsi="Times New Roman" w:cs="Times New Roman"/>
          <w:sz w:val="26"/>
          <w:szCs w:val="26"/>
        </w:rPr>
        <w:t>inżynierowie</w:t>
      </w:r>
      <w:r>
        <w:rPr>
          <w:rFonts w:ascii="Times New Roman" w:hAnsi="Times New Roman" w:cs="Times New Roman"/>
          <w:sz w:val="26"/>
          <w:szCs w:val="26"/>
        </w:rPr>
        <w:t xml:space="preserve"> do spraw przemysłu i produkcji, kierownicy do spraw produkcji </w:t>
      </w:r>
      <w:r w:rsidR="00E961D8">
        <w:rPr>
          <w:rFonts w:ascii="Times New Roman" w:hAnsi="Times New Roman" w:cs="Times New Roman"/>
          <w:sz w:val="26"/>
          <w:szCs w:val="26"/>
        </w:rPr>
        <w:t>przemysłowej</w:t>
      </w:r>
      <w:r>
        <w:rPr>
          <w:rFonts w:ascii="Times New Roman" w:hAnsi="Times New Roman" w:cs="Times New Roman"/>
          <w:sz w:val="26"/>
          <w:szCs w:val="26"/>
        </w:rPr>
        <w:t xml:space="preserve">, pracownicy świadczący usługi na ulicach, </w:t>
      </w:r>
    </w:p>
    <w:p w:rsidR="00447C8A" w:rsidRDefault="00447C8A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zawody zrównoważone to: średni personel w zakresie działalności gdzie indziej niesklasyfikowanej, pracownicy sprzedaży i pokrewni gdzie indziej niesklasyfikowani,</w:t>
      </w:r>
    </w:p>
    <w:p w:rsidR="00447C8A" w:rsidRDefault="00447C8A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zawody maksymalnie nadwyżkowe to: cieśle i stolarze budowlani, pracownicy ds. statystyki, finansów i ubezpieczeń, konstruktorzy i </w:t>
      </w:r>
      <w:proofErr w:type="spellStart"/>
      <w:r>
        <w:rPr>
          <w:rFonts w:ascii="Times New Roman" w:hAnsi="Times New Roman" w:cs="Times New Roman"/>
          <w:sz w:val="26"/>
          <w:szCs w:val="26"/>
        </w:rPr>
        <w:t>krojczowie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odzieży, </w:t>
      </w:r>
      <w:r w:rsidR="00E961D8">
        <w:rPr>
          <w:rFonts w:ascii="Times New Roman" w:hAnsi="Times New Roman" w:cs="Times New Roman"/>
          <w:sz w:val="26"/>
          <w:szCs w:val="26"/>
        </w:rPr>
        <w:t>specjaliści</w:t>
      </w:r>
      <w:r>
        <w:rPr>
          <w:rFonts w:ascii="Times New Roman" w:hAnsi="Times New Roman" w:cs="Times New Roman"/>
          <w:sz w:val="26"/>
          <w:szCs w:val="26"/>
        </w:rPr>
        <w:t xml:space="preserve"> ds. rynku </w:t>
      </w:r>
      <w:r w:rsidR="00E961D8">
        <w:rPr>
          <w:rFonts w:ascii="Times New Roman" w:hAnsi="Times New Roman" w:cs="Times New Roman"/>
          <w:sz w:val="26"/>
          <w:szCs w:val="26"/>
        </w:rPr>
        <w:t>nieruchomości, ceramicy i pokrewni, asystenci dentystyczni,</w:t>
      </w:r>
    </w:p>
    <w:p w:rsidR="00E961D8" w:rsidRDefault="00E961D8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zawody nadwyżkowe w powiecie grójeckim to: ślusarze i pokrewni, kierownicy ds. budownictwa, pracownicy wykonujący prace proste gdzie indziej niesklasyfikowane. </w:t>
      </w:r>
    </w:p>
    <w:p w:rsidR="00E961D8" w:rsidRDefault="00E961D8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wskaźnik zatrudnienia w powiecie grójeckim wynosi 19,76, a to oznacza że pracodawcy d</w:t>
      </w:r>
      <w:r w:rsidR="00D073F2">
        <w:rPr>
          <w:rFonts w:ascii="Times New Roman" w:hAnsi="Times New Roman" w:cs="Times New Roman"/>
          <w:sz w:val="26"/>
          <w:szCs w:val="26"/>
        </w:rPr>
        <w:t>eklarują poprawę sytuacji firm i zwiększenie zatrudnienia w roku 2016.</w:t>
      </w:r>
    </w:p>
    <w:p w:rsidR="00D073F2" w:rsidRDefault="00D073F2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3F2" w:rsidRDefault="00D073F2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3F2" w:rsidRDefault="00D073F2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3F2" w:rsidRDefault="00D073F2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3F2" w:rsidRDefault="00D073F2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3F2" w:rsidRDefault="00D073F2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3F2" w:rsidRDefault="00D073F2" w:rsidP="00E961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B8C" w:rsidRDefault="00542B8C" w:rsidP="00542B8C">
      <w:pPr>
        <w:pStyle w:val="Nagwek1"/>
        <w:rPr>
          <w:b/>
        </w:rPr>
      </w:pPr>
      <w:bookmarkStart w:id="12" w:name="_Toc449705518"/>
      <w:r w:rsidRPr="00542B8C">
        <w:rPr>
          <w:b/>
        </w:rPr>
        <w:lastRenderedPageBreak/>
        <w:t>Informacja Sygnalna</w:t>
      </w:r>
      <w:bookmarkEnd w:id="12"/>
    </w:p>
    <w:p w:rsidR="00542B8C" w:rsidRDefault="00542B8C" w:rsidP="00542B8C"/>
    <w:p w:rsidR="00542B8C" w:rsidRPr="00542B8C" w:rsidRDefault="00542B8C" w:rsidP="00542B8C">
      <w:r>
        <w:t>Informacja sygnalna II półrocze 2015r. Zawody deficytowe i nadwyżkowe w powiecie grójeckim</w:t>
      </w:r>
    </w:p>
    <w:tbl>
      <w:tblPr>
        <w:tblW w:w="9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20"/>
        <w:gridCol w:w="6780"/>
        <w:gridCol w:w="160"/>
      </w:tblGrid>
      <w:tr w:rsidR="00D94168" w:rsidRPr="00D94168" w:rsidTr="00542B8C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94168" w:rsidRPr="00D94168" w:rsidRDefault="00D94168" w:rsidP="00D9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94168" w:rsidRPr="00D94168" w:rsidRDefault="00D94168" w:rsidP="00D9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94168" w:rsidRPr="00D94168" w:rsidRDefault="00D94168" w:rsidP="00D9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elementarna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92D050"/>
            <w:noWrap/>
            <w:textDirection w:val="btLr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deficytowy</w:t>
            </w: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Lektorzy języków obcych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wzornictwa przemysłowego i odzieży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wyrobu masy papierniczej i produkcji papieru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deficytowy</w:t>
            </w: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Windykatorzy</w:t>
            </w:r>
            <w:proofErr w:type="spellEnd"/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79646"/>
            <w:noWrap/>
            <w:textDirection w:val="btLr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nadwyżkowy</w:t>
            </w: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ogólnym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wychowania małego dziecka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chemicznych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transportu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nadwyżkowy</w:t>
            </w: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Dekarze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Ładowacze nieczystości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gdzie indziej niesklasyfikowani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941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94168" w:rsidRPr="00D94168" w:rsidTr="00542B8C">
        <w:trPr>
          <w:trHeight w:val="30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168" w:rsidRPr="00D94168" w:rsidRDefault="00D94168" w:rsidP="00D9416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16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      </w:r>
          </w:p>
        </w:tc>
      </w:tr>
    </w:tbl>
    <w:p w:rsidR="00047DCC" w:rsidRDefault="00047DCC" w:rsidP="00204657">
      <w:pPr>
        <w:rPr>
          <w:rFonts w:ascii="Times New Roman" w:hAnsi="Times New Roman" w:cs="Times New Roman"/>
          <w:sz w:val="18"/>
          <w:szCs w:val="18"/>
        </w:rPr>
      </w:pPr>
    </w:p>
    <w:p w:rsidR="00542B8C" w:rsidRPr="00542B8C" w:rsidRDefault="00542B8C" w:rsidP="00542B8C">
      <w:pPr>
        <w:pStyle w:val="Nagwek1"/>
        <w:rPr>
          <w:b/>
        </w:rPr>
      </w:pPr>
      <w:bookmarkStart w:id="13" w:name="_Toc449705519"/>
      <w:r w:rsidRPr="00542B8C">
        <w:rPr>
          <w:b/>
        </w:rPr>
        <w:lastRenderedPageBreak/>
        <w:t>Załącznik A. Rynek pracy</w:t>
      </w:r>
      <w:bookmarkEnd w:id="13"/>
    </w:p>
    <w:p w:rsidR="00204657" w:rsidRDefault="00D42C10" w:rsidP="00204657">
      <w:pPr>
        <w:rPr>
          <w:rFonts w:ascii="Times New Roman" w:hAnsi="Times New Roman" w:cs="Times New Roman"/>
          <w:sz w:val="18"/>
          <w:szCs w:val="18"/>
        </w:rPr>
      </w:pPr>
      <w:r w:rsidRPr="00D42C10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1DFBE7D3" wp14:editId="63F945F8">
            <wp:simplePos x="0" y="0"/>
            <wp:positionH relativeFrom="margin">
              <wp:posOffset>-1905</wp:posOffset>
            </wp:positionH>
            <wp:positionV relativeFrom="paragraph">
              <wp:posOffset>569595</wp:posOffset>
            </wp:positionV>
            <wp:extent cx="6019800" cy="8055610"/>
            <wp:effectExtent l="0" t="0" r="0" b="2540"/>
            <wp:wrapTopAndBottom/>
            <wp:docPr id="11" name="Obraz 11" descr="C:\Users\sanowisko-2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owisko-2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0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399"/>
        <w:gridCol w:w="391"/>
        <w:gridCol w:w="391"/>
        <w:gridCol w:w="391"/>
        <w:gridCol w:w="325"/>
        <w:gridCol w:w="325"/>
        <w:gridCol w:w="391"/>
        <w:gridCol w:w="325"/>
        <w:gridCol w:w="600"/>
        <w:gridCol w:w="515"/>
        <w:gridCol w:w="392"/>
        <w:gridCol w:w="392"/>
        <w:gridCol w:w="600"/>
        <w:gridCol w:w="600"/>
        <w:gridCol w:w="432"/>
        <w:gridCol w:w="841"/>
        <w:gridCol w:w="325"/>
      </w:tblGrid>
      <w:tr w:rsidR="00C35435" w:rsidRPr="00C35435" w:rsidTr="00C35435">
        <w:trPr>
          <w:trHeight w:val="300"/>
        </w:trPr>
        <w:tc>
          <w:tcPr>
            <w:tcW w:w="8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542B8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43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12. Bezrobotni, oferty pracy oraz mierniki stosowane w monitoringu w 2015 roku według </w:t>
            </w:r>
            <w:r w:rsidR="00542B8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wielkich</w:t>
            </w:r>
            <w:r w:rsidRPr="00C3543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grup zawodów</w:t>
            </w:r>
          </w:p>
        </w:tc>
      </w:tr>
      <w:tr w:rsidR="00542B8C" w:rsidRPr="00C35435" w:rsidTr="00C35435">
        <w:trPr>
          <w:trHeight w:val="300"/>
        </w:trPr>
        <w:tc>
          <w:tcPr>
            <w:tcW w:w="8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B8C" w:rsidRPr="00C35435" w:rsidRDefault="00542B8C" w:rsidP="00C3543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13</w:t>
            </w:r>
            <w:r w:rsidRPr="00C35435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. Bezrobotni, oferty pracy oraz mierniki stosowane w monitoringu w 2015 roku według elementarnych grup zawodów</w:t>
            </w:r>
          </w:p>
        </w:tc>
      </w:tr>
      <w:tr w:rsidR="00C35435" w:rsidRPr="00C35435" w:rsidTr="00C35435">
        <w:trPr>
          <w:trHeight w:val="117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98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508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60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ofert subsydiowanych (%)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Odsetek wolnych miejsc pracy (%)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bezrobotnych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Średniomiesięczna liczba ofert pracy</w:t>
            </w:r>
          </w:p>
        </w:tc>
        <w:tc>
          <w:tcPr>
            <w:tcW w:w="152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09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nadwyżka*</w:t>
            </w:r>
          </w:p>
        </w:tc>
      </w:tr>
      <w:tr w:rsidR="00C35435" w:rsidRPr="00C35435" w:rsidTr="00C35435">
        <w:trPr>
          <w:trHeight w:val="1065"/>
        </w:trPr>
        <w:tc>
          <w:tcPr>
            <w:tcW w:w="38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5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wskaźnik dostęp </w:t>
            </w:r>
            <w:proofErr w:type="spellStart"/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ności</w:t>
            </w:r>
            <w:proofErr w:type="spellEnd"/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textDirection w:val="btLr"/>
            <w:hideMark/>
          </w:tcPr>
          <w:p w:rsidR="00C35435" w:rsidRPr="00C35435" w:rsidRDefault="00C35435" w:rsidP="00C35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 dni rok**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Żołnierze szeregowi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22,22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Dyrektorzy generalni i zarządzający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strategii i planowania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obsługi biznesu i zarządzania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marketingu i sprzedaży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badań i rozwoju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produkcji w rolnictwie i leśnictwie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produkcji przemysłowej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1324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logistyki i dziedzin pokrewnych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technologii informatycznych i telekomunikacyjnych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finansowych i ubezpieczeniowych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hotelarstwie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handlu detalicznym i hurtowym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1439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innych typów usług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Chemicy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nauk o Ziemi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Matematycy, aktuariusze i statystycy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Biolodzy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w zakresie rolnictwa, leśnictwa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ochrony środowiska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2141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budownictwa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inżynierii środowiska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mechanicy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chemicy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Architekci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wzornictwa przemysłowego i odzieży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Kartografowie i geodeci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grafiki i multimediów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bez specjalizacji, w trakcie specjalizacji lub ze specjalizacją I stopnia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Pielęgniarki bez specjalizacji lub w trakcie specjalizacji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Położne bez specjalizacji lub w trakcie specjalizacji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2251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weterynarii bez specjalizacji lub w trakcie specjalizacji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dentyści bez specjalizacji, w trakcie specjalizacji lub ze specjalizacją I stopnia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higieny, bezpieczeństwa pracy i ochrony środowiska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Fizjoterapeuci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Audiofonolodzy</w:t>
            </w:r>
            <w:proofErr w:type="spellEnd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logopedzi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kształcenia zawodowego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2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gimnazjów i szkół ponadgimnazjalnych (z wyjątkiem nauczycieli kształcenia zawodowego)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podstawowych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wychowania małego dziecka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2352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specjalnych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Lektorzy języków obcych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sztuki w placówkach pozaszkolnych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nauczania i wychowania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księgowości i rachunkowości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Doradcy finansowi i inwestycyjni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3,86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finansowi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reklamy i marketingu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public relations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2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2433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47,37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2,13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0,53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rozwoju systemów informatycznych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Programiści aplikacji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i administratorzy baz danych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sieci komputerowych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z dziedziny prawa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Archiwiści i muzealnicy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Bibliotekoznawcy i specjaliści zarządzania informacją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Ekonomiści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57,89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2632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Archeolodzy, socjolodzy i specjaliści dziedzin pokrewnych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Filozofowie, historycy i politolodzy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Psycholodzy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społecznych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Literaci i inni autorzy tekstów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Dziennikarze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chemicznej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3118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Kreślarze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Mistrzowie produkcji w przemyśle przetwórczym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spalania odpadów, uzdatniania wody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3139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biologicznych (z wyłączeniem nauk medycznych)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52,63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ruchu lotniczego i personel pokrewny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analityki medycznej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medyczni i dentystyczni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195,00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45,45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3230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3255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Ratownicy medyczni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zdrowia gdzie indziej niesklasyfikowany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kredytów, pożyczek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Księgowi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15,75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38,46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Rzeczoznawcy (z wyłączeniem majątkowych)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ubezpieczeniowi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6,67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77,65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3,18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Zaopatrzeniowcy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i administratorzy nieruchomości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usług biznesowych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biura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3343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25,80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Sekretarze medyczni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Funkcjonariusze celni i ochrony granic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Urzędnicy do spraw podatków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Policjanci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3357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Funkcjonariusze służb specjalnych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z dziedziny prawa i pokrewny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Trenerzy, instruktorzy i działacze sportowi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Fotografowie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bibliotek, galerii, muzeów, informacji naukowej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Muzycy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3439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teleinformatycznych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45,45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rejestracji i transmisji obrazu i dźwięku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telekomunikacyjnych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59,42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2,58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11,91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44,83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Sekretarki (ogólne)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wprowadzania danych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bankowi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lombardów i instytucji pożyczkowych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Windykatorzy</w:t>
            </w:r>
            <w:proofErr w:type="spellEnd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Konsultanci i inni pracownicy biur podróży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Pracownicy centrów obsługi telefonicznej (pracownicy </w:t>
            </w:r>
            <w:proofErr w:type="spellStart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call</w:t>
            </w:r>
            <w:proofErr w:type="spellEnd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center</w:t>
            </w:r>
            <w:proofErr w:type="spellEnd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4223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centrali telefonicznych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7,73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 informacji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(z wyłączeniem hotelowych)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3,85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4227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Ankieterzy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53,85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3,38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płacowej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66,15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2,65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27,50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Planiści produkcyjni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transportu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Listonosze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działów kadr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biura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5120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36,36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10,16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39,39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13,75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Barmani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52,38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10,60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5151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technicznej biur, hoteli i innych obiektów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domowych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Gospodarze budynków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68,54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3,33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73,47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nauki jazdy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osobistych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Uliczni sprzedawcy żywności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Właściciele sklepów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23,47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7,97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12,38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39,38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5230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i sprzedawcy biletów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17,14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3,79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41,18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sprzedaży bezpośredniej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2,93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w stacji paliw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3,83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Wydawcy posiłków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5249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3,18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dziecięcy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11,40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domowej opieki osobistej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opieki osobistej w ochronie zdrowia i pokrewni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Strażacy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12,59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polowych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Sadownicy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27,27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mieszanych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gospodarskich i domowych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6130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6210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leśni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 pracujący na własne potrzeby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36,42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58,62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obróbki kamienia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Dekarze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Posadzkarze, parkieciarze i glazurnicy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13,60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Tynkarze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Szklarze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82,61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7127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Lakiernicy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20,12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Takielarze i monterzy konstrukcji linowych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Kowale i operatorzy pras kuźniczych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47,37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30,77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17,54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31,03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17,62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30,77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52,63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5,42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precyzyjni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Jubilerzy, złotnicy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7314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Formowacze wyrobów szklanych, krajacze i szlifierze szkła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7318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Rzemieślnicy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 pracach przygotowawczych do druku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Drukarze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Introligatorzy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37,50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11,87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57,14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linii elektrycznych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urządzeń elektronicznych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instalacji i urządzeń teleinformatycznych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18,18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35,64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45,83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7514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przetwórstwa surowców roślinnych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drewno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27,86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Konstruktorzy i </w:t>
            </w:r>
            <w:proofErr w:type="spellStart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krojczowie</w:t>
            </w:r>
            <w:proofErr w:type="spellEnd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odzieży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Szwaczki, hafciarki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71,43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Wyprawiacze</w:t>
            </w:r>
            <w:proofErr w:type="spellEnd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skór, garbarze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7537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Kaletnicy, rymarze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Klasyfikatorzy wyrobów przemysłowych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zwalczania szkodników i chwastów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8111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Górnicy podziemnej i odkrywkowej eksploatacji złóż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wiertniczych i wydobywczych ropy, gazu i innych surowców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i przetwórstwa metali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obróbki powierzchniowej metali i nakładania powłok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chemicznych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gumowych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z tworzyw sztucznych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8143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papierniczych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przędzalniczych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8155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wyprawiania futer i skór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8156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obuwia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8157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prania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4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włókienniczych, futrzarskich i skórzanych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8160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31,03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34,76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40,63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wyrobu masy papierniczej i produkcji papieru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87,50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8181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produkcji wyrobów szklanych i ceramicznych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kotłów parowych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pakujących, znakujących i urządzeń do napełniania butelek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elektrycznego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15,40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Dyżurni ruchu, manewrowi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9,87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8331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autobusów i motorniczowie tramwajów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2,81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8332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1,54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2,43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5,12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38,10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16,59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52,38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sprzętu do robót ziemnych i urządzeń pokrewnych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74,42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11,54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6,05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53,49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Praczki ręczne i prasowacze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zajmujący się sprzątaniem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3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9212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hodowli zwierząt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przy uprawie roślin i hodowli zwierząt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ogrodnictwie i sadownictwie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98,33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13,43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20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18,67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55,56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ogólnym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26,67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35,60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52,27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Ręczni pakowacze i </w:t>
            </w:r>
            <w:proofErr w:type="spellStart"/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znakowacze</w:t>
            </w:r>
            <w:proofErr w:type="spellEnd"/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32,37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2,94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51,72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8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9329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27,69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2,43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56,25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pracujący przy przeładunku towarów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6,20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9334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Układacze towarów na półkach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12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9411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przygotowujący posiłki typu fast food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0,37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kuchenne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8,96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2,51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2,30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58,33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90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Ładowacze nieczystości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9612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450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9613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Zamiatacze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56,67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6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9621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Gońcy, bagażowi i pokrewni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1575"/>
        </w:trPr>
        <w:tc>
          <w:tcPr>
            <w:tcW w:w="38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9629</w:t>
            </w:r>
          </w:p>
        </w:tc>
        <w:tc>
          <w:tcPr>
            <w:tcW w:w="140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 gdzie indziej niesklasyfikowani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7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21,05</w:t>
            </w:r>
          </w:p>
        </w:tc>
        <w:tc>
          <w:tcPr>
            <w:tcW w:w="47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34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4,74</w:t>
            </w:r>
          </w:p>
        </w:tc>
        <w:tc>
          <w:tcPr>
            <w:tcW w:w="5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46,15</w:t>
            </w:r>
          </w:p>
        </w:tc>
        <w:tc>
          <w:tcPr>
            <w:tcW w:w="4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30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354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5435" w:rsidRPr="00C35435" w:rsidTr="00C35435">
        <w:trPr>
          <w:trHeight w:val="300"/>
        </w:trPr>
        <w:tc>
          <w:tcPr>
            <w:tcW w:w="8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Należy wpisać jedno z następujących: max deficyt, deficyt, równowaga, nadwyżka, max nadwyżka - w pozostałych przypadkach „ - ”.</w:t>
            </w:r>
          </w:p>
        </w:tc>
      </w:tr>
      <w:tr w:rsidR="00C35435" w:rsidRPr="00C35435" w:rsidTr="00C35435">
        <w:trPr>
          <w:trHeight w:val="300"/>
        </w:trPr>
        <w:tc>
          <w:tcPr>
            <w:tcW w:w="8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435" w:rsidRPr="00C35435" w:rsidRDefault="00C35435" w:rsidP="00C3543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543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Nie dotyczy pierwszego roku prowadzenia monitoringu według nowych zaleceń metodycznych.</w:t>
            </w:r>
          </w:p>
        </w:tc>
      </w:tr>
    </w:tbl>
    <w:p w:rsidR="00047DCC" w:rsidRDefault="00047DCC" w:rsidP="00204657">
      <w:pPr>
        <w:rPr>
          <w:rFonts w:ascii="Times New Roman" w:hAnsi="Times New Roman" w:cs="Times New Roman"/>
          <w:sz w:val="18"/>
          <w:szCs w:val="18"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>
      <w:pPr>
        <w:pStyle w:val="Nagwek1"/>
        <w:rPr>
          <w:b/>
        </w:rPr>
      </w:pPr>
    </w:p>
    <w:p w:rsidR="00542B8C" w:rsidRDefault="00542B8C" w:rsidP="00542B8C"/>
    <w:p w:rsidR="00542B8C" w:rsidRDefault="00542B8C" w:rsidP="00542B8C"/>
    <w:p w:rsidR="00542B8C" w:rsidRDefault="00542B8C" w:rsidP="00542B8C"/>
    <w:p w:rsidR="00542B8C" w:rsidRPr="00542B8C" w:rsidRDefault="00542B8C" w:rsidP="00542B8C"/>
    <w:p w:rsidR="00542B8C" w:rsidRDefault="00542B8C" w:rsidP="00542B8C">
      <w:pPr>
        <w:pStyle w:val="Nagwek1"/>
        <w:rPr>
          <w:b/>
        </w:rPr>
      </w:pPr>
      <w:bookmarkStart w:id="14" w:name="_Toc449705520"/>
      <w:r w:rsidRPr="00542B8C">
        <w:rPr>
          <w:b/>
        </w:rPr>
        <w:lastRenderedPageBreak/>
        <w:t>Załącznik B. Rynek edukacyjny</w:t>
      </w:r>
      <w:bookmarkEnd w:id="14"/>
    </w:p>
    <w:p w:rsidR="00542B8C" w:rsidRDefault="00542B8C" w:rsidP="00542B8C"/>
    <w:tbl>
      <w:tblPr>
        <w:tblW w:w="99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425"/>
        <w:gridCol w:w="284"/>
        <w:gridCol w:w="158"/>
        <w:gridCol w:w="692"/>
        <w:gridCol w:w="490"/>
        <w:gridCol w:w="361"/>
        <w:gridCol w:w="673"/>
        <w:gridCol w:w="177"/>
        <w:gridCol w:w="709"/>
        <w:gridCol w:w="296"/>
        <w:gridCol w:w="413"/>
        <w:gridCol w:w="769"/>
        <w:gridCol w:w="81"/>
        <w:gridCol w:w="992"/>
        <w:gridCol w:w="117"/>
        <w:gridCol w:w="186"/>
      </w:tblGrid>
      <w:tr w:rsidR="00542B8C" w:rsidRPr="00542B8C" w:rsidTr="00696F36">
        <w:trPr>
          <w:trHeight w:val="295"/>
        </w:trPr>
        <w:tc>
          <w:tcPr>
            <w:tcW w:w="99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Tabela 13. Liczba absolwentów oraz bezrobotnych absolwentów według ostatnio ukończonej szkoły w 2015 roku</w:t>
            </w:r>
          </w:p>
        </w:tc>
      </w:tr>
      <w:tr w:rsidR="00542B8C" w:rsidRPr="00542B8C" w:rsidTr="00696F36">
        <w:trPr>
          <w:trHeight w:val="29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162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2216" w:type="dxa"/>
            <w:gridSpan w:val="5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2372" w:type="dxa"/>
            <w:gridSpan w:val="5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42B8C" w:rsidRPr="00542B8C" w:rsidTr="00696F36">
        <w:trPr>
          <w:trHeight w:val="39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AKADEMIA OBRONY NARODOWEJ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68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AKADEMIA PEDAGOGIKI SPECJALNEJ IM.MARII GRZEGORZEWSKIEJ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76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COLLEGIUM CIVITAS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66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CZTEROLETNIE TECHNIKUM W NOWEJ WSI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5,26%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2,63%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18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II LICEUM OGÓLNOKSZTAŁCĄCE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1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SZARYCH SZEREGÓW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209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5,71%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25,71%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156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 TWP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ARMII KRAJOWEJ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PIOTRA SKARGI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1,09%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PIOTRA WYSOCKIEGO W WARCE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58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W JASIEŃCU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3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W MOGIELNICY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4,76%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W NOWYM MIEŚCIE NAD PILICĄ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2,22%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678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RZEMIEŚLNICZA SZKOŁA ZAWODOWA POWIATOWEGO CECHU RZEMIEŚLNIKÓW I RZEDSIĘBIORCÓW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26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SZKOŁA POLCEALNA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51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SZKOŁA POLICEALNA DLA DOROSŁYCH W NOWYM MIEŚCIE ZAKŁADU DOSKONALENIA ZAWODOWEGO W KIELCACH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19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SZKOŁA POLICEALNA POWIATOWEGO CECHU RZEMIEŚLNIKÓW I PRZEDSIĘBIORCÓW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99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ZAOCZNA POLICEALNA SZKOŁA FINANSÓW I RACHUNKOWOŚCI W GRÓJCU STANISŁAW BĘCZKOWSKI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2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ZAOCZNA POLICEALNA SZKOŁA TURYSTYKI WIEJSKIEJ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20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ZASADNICZA SZKOŁA ZAWODOWA ZDZ W KIELCACH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6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LICEUM OGÓLNOKSZTAŁCĄCE DLA DOROSŁYCH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887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LICEUM OGÓLNOKSZTAŁCĄCE DLA DOROSŁYCH W NOWYM MIEŚCIE ZAKŁADU DOSKONALENIA ZAWODOWEGO W KIELCACH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51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LICEUM OGÓLNOKSZTAŁCĄCE POWIATOWEGO CECHU RZEMIEŚLNIKÓW I PRZEDSIĘBIORCÓW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51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NIEPUBLICZNE LICEUM OGÓLNOKSZTAŁCĄCE W NOWYM MIEŚCIE ZAKŁADU DOSKONALENIA ZAWODOWEGO W KIELCACH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1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PONADGIMNAZJALNE LICEUM OGÓLNOKSZTAŁCĄCE DLA DOROSŁYCH-ZAOCZNE W GRÓJCU-STANISŁAW BĘCZKOWSKI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5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TECHNIKUM UZUPEŁNIAJĄCE DLA DOROSŁYCH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91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TECHNIKUM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9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TECHNIKUM ZAWODOWE ZDZ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5,66%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66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UZUPEŁNIAJĄCE TECHNIKUM OGRODNICZE DLA DOROSŁYCH POWIATOWEGO CECHU RZEMIEŚLNIKÓW I PRZEDSIĘBIORCÓW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07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CENTRUM NAUKI I BIZNESU "ŻAK"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POLITECHNIKA WARSZAWSKA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3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PUBLICZNA SZKOŁA PRZYSPOSABIAJĄCA DO PRACY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6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PUBLICZNA SZKOŁA SPECJALNA PRZYSPOSABIAJĄCA DO PRACY W JURKACH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8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PUBLICZNA ZASADNICZA SZKOŁA ZAWODOWA SPECJALNA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2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SPOŁECZNA AKADEMIA NAUK W ŁODZI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08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GŁÓWNA GOSPODARSTWA WIEJSKIEGO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32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GŁÓWNA HANDLOWA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36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41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PONADGIMNAZJALNA NR 23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44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PRZYSPOSABIAJĄCA DO PRACY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ZAWODOWA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52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4,96%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9,92%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72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ELEKTRONICZNE NR 1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21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IM. KRZYSZTOFA KAMILA BACZYŃSKIEGO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76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IM. STANISŁAWA STASZICA W BIAŁOBRZEGACH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5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INFORMATYCZNE POWIATOWEO CECHU RZEMIEŚLNIKÓW I PRZEDSIĘBIORCÓW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23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OGRODNICZE UZUPEŁNIAJĄCE DLA DOROSŁYCH W BŁĘDOWIE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12,50%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41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UZUPEŁNIAJĄCE DLA DOROSŁYCH W NOWEJ WSI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2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W LIPSKU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2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W WARCE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69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W ZESPOLE SZKÓŁ -CENTRUM EDUKACJI ZAWODOWEJ I USTAWICZNEJ IM. MIKOŁAJA KOPERNIKA W RAWIE MAZOWIECKIEJ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336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UCZELNIA WARSZAWSKA IM. MARII SKŁODOWSKIEJ-CURIE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UNIWERSYTET KARDYNAŁA STEFANA WYSZYŃSKIEGO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61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UNIWERSYTET TECHNOLOGICZNO-HUMANISTYCZNY IM. KAZIMIERZA PUŁASKIEGO W RADOMIU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UNIWERSYTET WARSZAWSKI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50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UNIWERSYTET ŁÓDZKI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887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UZUPEŁNIAJĄCE TECHNIKUM MECHANICZNE DLA DOROSŁYCH POWIATOWEGO CECHU RZEMIEŚLNIKÓW I PRZEDSIĘBIORCÓW W GRÓJCU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12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WOJSKOWA AKADEMIA TECHNICZNA IM.JAROSŁAWA DĄBROWSKIEGO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232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WYŻSZA SZKOŁA PEDAGOGICZNA ZWIĄZKU NAUCZYCIELSTWA POLSKIEGO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2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WYŻSZA SZKOŁA REHABILITACJI W WARSZAWIE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XCIV LICEUM OGÓLNOKSZTAŁCĄCE IM. GEN. STANISŁAWA MACZKA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ZAOCZNE LICEUM OGÓLNOKSZTAŁCĄCE DLA DOROSŁYCH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443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OGRODNICZA W BŁĘDOWIE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295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3,66%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10,98%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2B8C" w:rsidRPr="00542B8C" w:rsidTr="00696F36">
        <w:trPr>
          <w:trHeight w:val="138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SPECJALNA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157"/>
        </w:trPr>
        <w:tc>
          <w:tcPr>
            <w:tcW w:w="3544" w:type="dxa"/>
            <w:gridSpan w:val="4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W WARCE</w:t>
            </w:r>
          </w:p>
        </w:tc>
        <w:tc>
          <w:tcPr>
            <w:tcW w:w="44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2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B8C" w:rsidRPr="00542B8C" w:rsidRDefault="00542B8C" w:rsidP="00542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2B8C" w:rsidRPr="00542B8C" w:rsidTr="00696F36">
        <w:trPr>
          <w:trHeight w:val="295"/>
        </w:trPr>
        <w:tc>
          <w:tcPr>
            <w:tcW w:w="99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8C" w:rsidRPr="00542B8C" w:rsidRDefault="00542B8C" w:rsidP="00542B8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2B8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696F36" w:rsidRPr="00696F36" w:rsidTr="00696F36">
        <w:trPr>
          <w:trHeight w:val="295"/>
        </w:trPr>
        <w:tc>
          <w:tcPr>
            <w:tcW w:w="99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F36" w:rsidRDefault="00696F36" w:rsidP="00696F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6F36" w:rsidRDefault="00696F36" w:rsidP="00696F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6F36" w:rsidRPr="00696F36" w:rsidRDefault="00696F36" w:rsidP="00696F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Tabela 15. Liczba absolwentów oraz bezrobotnych absolwentów według elementarnej grupy zawodów w 2015 roku</w:t>
            </w:r>
          </w:p>
        </w:tc>
      </w:tr>
      <w:tr w:rsidR="00696F36" w:rsidRPr="00696F36" w:rsidTr="00696F36">
        <w:trPr>
          <w:gridAfter w:val="2"/>
          <w:wAfter w:w="303" w:type="dxa"/>
          <w:trHeight w:val="1170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elementarnej grupy zawodów</w:t>
            </w:r>
          </w:p>
        </w:tc>
        <w:tc>
          <w:tcPr>
            <w:tcW w:w="12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1559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absolwentów**</w:t>
            </w:r>
          </w:p>
        </w:tc>
        <w:tc>
          <w:tcPr>
            <w:tcW w:w="1701" w:type="dxa"/>
            <w:gridSpan w:val="4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1418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</w:t>
            </w:r>
          </w:p>
        </w:tc>
        <w:tc>
          <w:tcPr>
            <w:tcW w:w="184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</w:tr>
      <w:tr w:rsidR="00696F36" w:rsidRPr="00696F36" w:rsidTr="00696F36">
        <w:trPr>
          <w:gridAfter w:val="2"/>
          <w:wAfter w:w="303" w:type="dxa"/>
          <w:trHeight w:val="953"/>
        </w:trPr>
        <w:tc>
          <w:tcPr>
            <w:tcW w:w="184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grudnia roku poprzedniego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textDirection w:val="btLr"/>
            <w:hideMark/>
          </w:tcPr>
          <w:p w:rsidR="00696F36" w:rsidRPr="00696F36" w:rsidRDefault="00696F36" w:rsidP="00696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maja roku sprawozdawczego</w:t>
            </w:r>
          </w:p>
        </w:tc>
      </w:tr>
      <w:tr w:rsidR="00696F36" w:rsidRPr="00696F36" w:rsidTr="00696F36">
        <w:trPr>
          <w:gridAfter w:val="2"/>
          <w:wAfter w:w="303" w:type="dxa"/>
          <w:trHeight w:val="300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92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696F36" w:rsidRPr="00696F36" w:rsidTr="00696F36">
        <w:trPr>
          <w:gridAfter w:val="2"/>
          <w:wAfter w:w="303" w:type="dxa"/>
          <w:trHeight w:val="412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240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3,57%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13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696F36" w:rsidRPr="00696F36" w:rsidTr="00696F36">
        <w:trPr>
          <w:gridAfter w:val="2"/>
          <w:wAfter w:w="303" w:type="dxa"/>
          <w:trHeight w:val="155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13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46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3,23%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6,45%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66,67%</w:t>
            </w:r>
          </w:p>
        </w:tc>
      </w:tr>
      <w:tr w:rsidR="00696F36" w:rsidRPr="00696F36" w:rsidTr="00696F36">
        <w:trPr>
          <w:gridAfter w:val="2"/>
          <w:wAfter w:w="303" w:type="dxa"/>
          <w:trHeight w:val="132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879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696F36" w:rsidRPr="00696F36" w:rsidTr="00696F36">
        <w:trPr>
          <w:gridAfter w:val="2"/>
          <w:wAfter w:w="303" w:type="dxa"/>
          <w:trHeight w:val="679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419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425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398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56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708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141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Recepcjoniści hotelowi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428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przetwórstwa surowców roślinnych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364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157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302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405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96F36" w:rsidRPr="00696F36" w:rsidTr="00696F36">
        <w:trPr>
          <w:gridAfter w:val="2"/>
          <w:wAfter w:w="303" w:type="dxa"/>
          <w:trHeight w:val="62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26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567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435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369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545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1,89%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1,89%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696F36" w:rsidRPr="00696F36" w:rsidTr="006D4722">
        <w:trPr>
          <w:gridAfter w:val="2"/>
          <w:wAfter w:w="303" w:type="dxa"/>
          <w:trHeight w:val="653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D4722">
        <w:trPr>
          <w:gridAfter w:val="2"/>
          <w:wAfter w:w="303" w:type="dxa"/>
          <w:trHeight w:val="26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D4722">
        <w:trPr>
          <w:gridAfter w:val="2"/>
          <w:wAfter w:w="303" w:type="dxa"/>
          <w:trHeight w:val="696"/>
        </w:trPr>
        <w:tc>
          <w:tcPr>
            <w:tcW w:w="184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56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1,47%</w:t>
            </w:r>
          </w:p>
        </w:tc>
        <w:tc>
          <w:tcPr>
            <w:tcW w:w="709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50" w:type="dxa"/>
            <w:gridSpan w:val="2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96F36" w:rsidRPr="00696F36" w:rsidRDefault="00696F36" w:rsidP="00696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696F36" w:rsidRPr="00696F36" w:rsidTr="00696F36">
        <w:trPr>
          <w:gridAfter w:val="2"/>
          <w:wAfter w:w="303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696F36" w:rsidRPr="00696F36" w:rsidTr="00696F36">
        <w:trPr>
          <w:gridAfter w:val="2"/>
          <w:wAfter w:w="303" w:type="dxa"/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F36" w:rsidRPr="00696F36" w:rsidRDefault="00696F36" w:rsidP="00696F3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6F3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542B8C" w:rsidRPr="00542B8C" w:rsidRDefault="00542B8C" w:rsidP="00542B8C"/>
    <w:sectPr w:rsidR="00542B8C" w:rsidRPr="00542B8C" w:rsidSect="00047DCC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00" w:rsidRDefault="00574700" w:rsidP="00BD0C87">
      <w:pPr>
        <w:spacing w:after="0" w:line="240" w:lineRule="auto"/>
      </w:pPr>
      <w:r>
        <w:separator/>
      </w:r>
    </w:p>
  </w:endnote>
  <w:endnote w:type="continuationSeparator" w:id="0">
    <w:p w:rsidR="00574700" w:rsidRDefault="00574700" w:rsidP="00BD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332660"/>
      <w:docPartObj>
        <w:docPartGallery w:val="Page Numbers (Bottom of Page)"/>
        <w:docPartUnique/>
      </w:docPartObj>
    </w:sdtPr>
    <w:sdtEndPr/>
    <w:sdtContent>
      <w:p w:rsidR="00C576AE" w:rsidRDefault="00C576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3D">
          <w:rPr>
            <w:noProof/>
          </w:rPr>
          <w:t>54</w:t>
        </w:r>
        <w:r>
          <w:fldChar w:fldCharType="end"/>
        </w:r>
      </w:p>
    </w:sdtContent>
  </w:sdt>
  <w:p w:rsidR="00C576AE" w:rsidRDefault="00C57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00" w:rsidRDefault="00574700" w:rsidP="00BD0C87">
      <w:pPr>
        <w:spacing w:after="0" w:line="240" w:lineRule="auto"/>
      </w:pPr>
      <w:r>
        <w:separator/>
      </w:r>
    </w:p>
  </w:footnote>
  <w:footnote w:type="continuationSeparator" w:id="0">
    <w:p w:rsidR="00574700" w:rsidRDefault="00574700" w:rsidP="00BD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939"/>
    <w:multiLevelType w:val="hybridMultilevel"/>
    <w:tmpl w:val="09205B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3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A430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E0C2E"/>
    <w:multiLevelType w:val="hybridMultilevel"/>
    <w:tmpl w:val="04FA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5B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2166D4"/>
    <w:multiLevelType w:val="hybridMultilevel"/>
    <w:tmpl w:val="8E388D2A"/>
    <w:lvl w:ilvl="0" w:tplc="AEC422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00D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B6644"/>
    <w:multiLevelType w:val="multilevel"/>
    <w:tmpl w:val="9B46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C214968"/>
    <w:multiLevelType w:val="multilevel"/>
    <w:tmpl w:val="A9385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4B"/>
    <w:rsid w:val="0001238A"/>
    <w:rsid w:val="00016A40"/>
    <w:rsid w:val="00016CBA"/>
    <w:rsid w:val="0003325E"/>
    <w:rsid w:val="00047DCC"/>
    <w:rsid w:val="00085C97"/>
    <w:rsid w:val="000C7A2A"/>
    <w:rsid w:val="000F3F2F"/>
    <w:rsid w:val="00156056"/>
    <w:rsid w:val="00162472"/>
    <w:rsid w:val="00187866"/>
    <w:rsid w:val="001A7D3B"/>
    <w:rsid w:val="001C141E"/>
    <w:rsid w:val="001E6DAF"/>
    <w:rsid w:val="00204657"/>
    <w:rsid w:val="0022247E"/>
    <w:rsid w:val="00241E86"/>
    <w:rsid w:val="00253F3F"/>
    <w:rsid w:val="00287C03"/>
    <w:rsid w:val="00297FFC"/>
    <w:rsid w:val="002A7988"/>
    <w:rsid w:val="002D4285"/>
    <w:rsid w:val="002E55C5"/>
    <w:rsid w:val="00395C20"/>
    <w:rsid w:val="00447C8A"/>
    <w:rsid w:val="00480EAB"/>
    <w:rsid w:val="0049179C"/>
    <w:rsid w:val="004A56C1"/>
    <w:rsid w:val="004B7687"/>
    <w:rsid w:val="004C5F3D"/>
    <w:rsid w:val="004C6346"/>
    <w:rsid w:val="00511ADF"/>
    <w:rsid w:val="00515C65"/>
    <w:rsid w:val="00542B8C"/>
    <w:rsid w:val="00574700"/>
    <w:rsid w:val="005776D6"/>
    <w:rsid w:val="005A44E3"/>
    <w:rsid w:val="005A5DF4"/>
    <w:rsid w:val="005B4DCC"/>
    <w:rsid w:val="005D07AC"/>
    <w:rsid w:val="005E393D"/>
    <w:rsid w:val="005F0823"/>
    <w:rsid w:val="005F61F7"/>
    <w:rsid w:val="00611381"/>
    <w:rsid w:val="00625EE6"/>
    <w:rsid w:val="00647404"/>
    <w:rsid w:val="00650727"/>
    <w:rsid w:val="0066539B"/>
    <w:rsid w:val="00695C1D"/>
    <w:rsid w:val="00696F36"/>
    <w:rsid w:val="006A4235"/>
    <w:rsid w:val="006D1985"/>
    <w:rsid w:val="006D31D9"/>
    <w:rsid w:val="006D4722"/>
    <w:rsid w:val="006E5992"/>
    <w:rsid w:val="006E6AAA"/>
    <w:rsid w:val="0070146C"/>
    <w:rsid w:val="007200BC"/>
    <w:rsid w:val="00722F6E"/>
    <w:rsid w:val="00774040"/>
    <w:rsid w:val="007D3176"/>
    <w:rsid w:val="00833CB1"/>
    <w:rsid w:val="00851E95"/>
    <w:rsid w:val="008A71B8"/>
    <w:rsid w:val="008C7AA2"/>
    <w:rsid w:val="008D13CB"/>
    <w:rsid w:val="008F3BBD"/>
    <w:rsid w:val="00937723"/>
    <w:rsid w:val="0098361D"/>
    <w:rsid w:val="00993BDB"/>
    <w:rsid w:val="009944DE"/>
    <w:rsid w:val="0099569A"/>
    <w:rsid w:val="0099747E"/>
    <w:rsid w:val="009A4172"/>
    <w:rsid w:val="009D2C1E"/>
    <w:rsid w:val="00A01E5E"/>
    <w:rsid w:val="00A03CE5"/>
    <w:rsid w:val="00A049B1"/>
    <w:rsid w:val="00A41959"/>
    <w:rsid w:val="00A94A27"/>
    <w:rsid w:val="00AB0EAF"/>
    <w:rsid w:val="00AD1382"/>
    <w:rsid w:val="00AF26F8"/>
    <w:rsid w:val="00AF3FB0"/>
    <w:rsid w:val="00B27735"/>
    <w:rsid w:val="00B47BCE"/>
    <w:rsid w:val="00BB7BF5"/>
    <w:rsid w:val="00BC4682"/>
    <w:rsid w:val="00BD0C87"/>
    <w:rsid w:val="00BD11C6"/>
    <w:rsid w:val="00C32BC4"/>
    <w:rsid w:val="00C35435"/>
    <w:rsid w:val="00C576AE"/>
    <w:rsid w:val="00C6792B"/>
    <w:rsid w:val="00C70B3C"/>
    <w:rsid w:val="00C726E4"/>
    <w:rsid w:val="00C7521D"/>
    <w:rsid w:val="00CA3555"/>
    <w:rsid w:val="00CB07B6"/>
    <w:rsid w:val="00D03AB3"/>
    <w:rsid w:val="00D073F2"/>
    <w:rsid w:val="00D21007"/>
    <w:rsid w:val="00D348FD"/>
    <w:rsid w:val="00D42C10"/>
    <w:rsid w:val="00D573A7"/>
    <w:rsid w:val="00D60935"/>
    <w:rsid w:val="00D6264C"/>
    <w:rsid w:val="00D708CC"/>
    <w:rsid w:val="00D94168"/>
    <w:rsid w:val="00D95A22"/>
    <w:rsid w:val="00DF6B18"/>
    <w:rsid w:val="00E30416"/>
    <w:rsid w:val="00E524F3"/>
    <w:rsid w:val="00E600D8"/>
    <w:rsid w:val="00E961D8"/>
    <w:rsid w:val="00EA35FD"/>
    <w:rsid w:val="00ED6138"/>
    <w:rsid w:val="00F05A16"/>
    <w:rsid w:val="00F107BF"/>
    <w:rsid w:val="00F11C4B"/>
    <w:rsid w:val="00F16BD9"/>
    <w:rsid w:val="00F176D2"/>
    <w:rsid w:val="00F27AA7"/>
    <w:rsid w:val="00F32683"/>
    <w:rsid w:val="00F646F5"/>
    <w:rsid w:val="00F64D56"/>
    <w:rsid w:val="00F741F5"/>
    <w:rsid w:val="00F75A0E"/>
    <w:rsid w:val="00F97F16"/>
    <w:rsid w:val="00FA6D3A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8C202-F812-4A99-A0A1-9492C7DF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F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DF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DF4"/>
    <w:rPr>
      <w:rFonts w:ascii="Times New Roman" w:eastAsiaTheme="majorEastAsia" w:hAnsi="Times New Roman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5DF4"/>
    <w:rPr>
      <w:rFonts w:ascii="Times New Roman" w:eastAsiaTheme="majorEastAsia" w:hAnsi="Times New Roman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D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C87"/>
  </w:style>
  <w:style w:type="paragraph" w:styleId="Stopka">
    <w:name w:val="footer"/>
    <w:basedOn w:val="Normalny"/>
    <w:link w:val="StopkaZnak"/>
    <w:uiPriority w:val="99"/>
    <w:unhideWhenUsed/>
    <w:rsid w:val="00BD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C87"/>
  </w:style>
  <w:style w:type="paragraph" w:styleId="Nagwekspisutreci">
    <w:name w:val="TOC Heading"/>
    <w:basedOn w:val="Nagwek1"/>
    <w:next w:val="Normalny"/>
    <w:uiPriority w:val="39"/>
    <w:unhideWhenUsed/>
    <w:qFormat/>
    <w:rsid w:val="00BD0C8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D0C8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D0C87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04657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2046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76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76D2"/>
    <w:rPr>
      <w:rFonts w:ascii="Arial" w:eastAsia="Times New Roman" w:hAnsi="Arial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C63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DE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Normalny"/>
    <w:rsid w:val="00CB07B6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CB07B6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CB07B6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B07B6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CB07B6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CB07B6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CB07B6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CB07B6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CB07B6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CB07B6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CB07B6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CB07B6"/>
    <w:pPr>
      <w:pBdr>
        <w:top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CB07B6"/>
    <w:pPr>
      <w:pBdr>
        <w:lef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B07B6"/>
    <w:pPr>
      <w:pBdr>
        <w:left w:val="single" w:sz="4" w:space="0" w:color="999999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B07B6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C21A-B3FA-40BA-BDFC-D1493361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11333</Words>
  <Characters>68001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sanowisko-2</dc:creator>
  <cp:keywords/>
  <dc:description/>
  <cp:lastModifiedBy>Renata Kowalska</cp:lastModifiedBy>
  <cp:revision>2</cp:revision>
  <cp:lastPrinted>2016-04-27T12:51:00Z</cp:lastPrinted>
  <dcterms:created xsi:type="dcterms:W3CDTF">2017-09-14T12:38:00Z</dcterms:created>
  <dcterms:modified xsi:type="dcterms:W3CDTF">2017-09-14T12:38:00Z</dcterms:modified>
</cp:coreProperties>
</file>